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0077C" w14:textId="77777777" w:rsidR="00A8609C" w:rsidRDefault="00A8609C" w:rsidP="003970CE">
      <w:pPr>
        <w:rPr>
          <w:rFonts w:ascii="Arial" w:hAnsi="Arial" w:cs="Arial"/>
          <w:b/>
        </w:rPr>
      </w:pPr>
    </w:p>
    <w:p w14:paraId="220C0E7E" w14:textId="77777777" w:rsidR="00F00BD5" w:rsidRPr="00CB2E4D" w:rsidRDefault="00A8609C" w:rsidP="00F00BD5">
      <w:pPr>
        <w:rPr>
          <w:rFonts w:ascii="Arial" w:hAnsi="Arial" w:cs="Arial"/>
          <w:b/>
        </w:rPr>
      </w:pPr>
      <w:r>
        <w:rPr>
          <w:rFonts w:ascii="Arial" w:hAnsi="Arial" w:cs="Arial"/>
          <w:b/>
        </w:rPr>
        <w:br/>
      </w:r>
      <w:r w:rsidR="00F00BD5" w:rsidRPr="008C2A16">
        <w:rPr>
          <w:rFonts w:ascii="Arial" w:hAnsi="Arial" w:cs="Arial"/>
          <w:b/>
        </w:rPr>
        <w:t>SUMMARY OF UTILITY FUEL HEDGING PRACTICES:</w:t>
      </w:r>
    </w:p>
    <w:p w14:paraId="4394C7B9" w14:textId="77777777" w:rsidR="00F00BD5" w:rsidRDefault="00F00BD5" w:rsidP="00F00BD5">
      <w:pPr>
        <w:rPr>
          <w:rFonts w:ascii="Arial" w:hAnsi="Arial" w:cs="Arial"/>
        </w:rPr>
      </w:pPr>
    </w:p>
    <w:p w14:paraId="3DBED6C7" w14:textId="77777777" w:rsidR="00F00BD5" w:rsidRDefault="00F00BD5" w:rsidP="00F00BD5">
      <w:pPr>
        <w:jc w:val="both"/>
        <w:rPr>
          <w:rFonts w:ascii="Arial" w:hAnsi="Arial" w:cs="Arial"/>
        </w:rPr>
      </w:pPr>
      <w:r>
        <w:rPr>
          <w:rFonts w:ascii="Arial" w:hAnsi="Arial" w:cs="Arial"/>
        </w:rPr>
        <w:t>Each of the Southern Company operating companies (OPCOs), including Southern Power, utilize hedging instruments to manage fuel price risks.  SCS utilizes fixed for floating financial swaps as well as financial options in its hedging activities. These transactions are executed “</w:t>
      </w:r>
      <w:proofErr w:type="gramStart"/>
      <w:r>
        <w:rPr>
          <w:rFonts w:ascii="Arial" w:hAnsi="Arial" w:cs="Arial"/>
        </w:rPr>
        <w:t>over-the-counter</w:t>
      </w:r>
      <w:proofErr w:type="gramEnd"/>
      <w:r>
        <w:rPr>
          <w:rFonts w:ascii="Arial" w:hAnsi="Arial" w:cs="Arial"/>
        </w:rPr>
        <w:t>” primarily with financial institutions</w:t>
      </w:r>
      <w:r w:rsidR="005A7B52">
        <w:rPr>
          <w:rFonts w:ascii="Arial" w:hAnsi="Arial" w:cs="Arial"/>
        </w:rPr>
        <w:t xml:space="preserve"> and producers</w:t>
      </w:r>
      <w:r>
        <w:rPr>
          <w:rFonts w:ascii="Arial" w:hAnsi="Arial" w:cs="Arial"/>
        </w:rPr>
        <w:t xml:space="preserve">.  </w:t>
      </w:r>
    </w:p>
    <w:p w14:paraId="5D427093" w14:textId="77777777" w:rsidR="00F00BD5" w:rsidRDefault="00F00BD5" w:rsidP="00F00BD5">
      <w:pPr>
        <w:tabs>
          <w:tab w:val="left" w:pos="6135"/>
        </w:tabs>
        <w:jc w:val="both"/>
        <w:rPr>
          <w:rFonts w:ascii="Arial" w:hAnsi="Arial" w:cs="Arial"/>
        </w:rPr>
      </w:pPr>
      <w:r>
        <w:rPr>
          <w:rFonts w:ascii="Arial" w:hAnsi="Arial" w:cs="Arial"/>
        </w:rPr>
        <w:tab/>
      </w:r>
    </w:p>
    <w:p w14:paraId="58E5A0E6" w14:textId="77777777" w:rsidR="00F00BD5" w:rsidRDefault="00F00BD5" w:rsidP="00F00BD5">
      <w:pPr>
        <w:jc w:val="both"/>
        <w:rPr>
          <w:rFonts w:ascii="Arial" w:hAnsi="Arial" w:cs="Arial"/>
        </w:rPr>
      </w:pPr>
      <w:r w:rsidRPr="009947B6">
        <w:rPr>
          <w:rFonts w:ascii="Arial" w:hAnsi="Arial" w:cs="Arial"/>
        </w:rPr>
        <w:t xml:space="preserve">SCS executes hedge transactions as agent for Alabama Power, Georgia Power, </w:t>
      </w:r>
      <w:r>
        <w:rPr>
          <w:rFonts w:ascii="Arial" w:hAnsi="Arial" w:cs="Arial"/>
        </w:rPr>
        <w:t xml:space="preserve">and </w:t>
      </w:r>
      <w:r w:rsidRPr="009947B6">
        <w:rPr>
          <w:rFonts w:ascii="Arial" w:hAnsi="Arial" w:cs="Arial"/>
        </w:rPr>
        <w:t xml:space="preserve">Mississippi </w:t>
      </w:r>
      <w:proofErr w:type="gramStart"/>
      <w:r w:rsidRPr="009947B6">
        <w:rPr>
          <w:rFonts w:ascii="Arial" w:hAnsi="Arial" w:cs="Arial"/>
        </w:rPr>
        <w:t>Power</w:t>
      </w:r>
      <w:r>
        <w:rPr>
          <w:rFonts w:ascii="Arial" w:hAnsi="Arial" w:cs="Arial"/>
        </w:rPr>
        <w:t>.*</w:t>
      </w:r>
      <w:proofErr w:type="gramEnd"/>
      <w:r>
        <w:rPr>
          <w:rFonts w:ascii="Arial" w:hAnsi="Arial" w:cs="Arial"/>
        </w:rPr>
        <w:t xml:space="preserve">  SCS assists in planning, analyzing</w:t>
      </w:r>
      <w:r w:rsidR="00EB78E3">
        <w:rPr>
          <w:rFonts w:ascii="Arial" w:hAnsi="Arial" w:cs="Arial"/>
        </w:rPr>
        <w:t>,</w:t>
      </w:r>
      <w:r>
        <w:rPr>
          <w:rFonts w:ascii="Arial" w:hAnsi="Arial" w:cs="Arial"/>
        </w:rPr>
        <w:t xml:space="preserve"> and identifying h</w:t>
      </w:r>
      <w:r w:rsidRPr="009947B6">
        <w:rPr>
          <w:rFonts w:ascii="Arial" w:hAnsi="Arial" w:cs="Arial"/>
        </w:rPr>
        <w:t xml:space="preserve">edge </w:t>
      </w:r>
      <w:r>
        <w:rPr>
          <w:rFonts w:ascii="Arial" w:hAnsi="Arial" w:cs="Arial"/>
        </w:rPr>
        <w:t>opportunities</w:t>
      </w:r>
      <w:r w:rsidRPr="009947B6">
        <w:rPr>
          <w:rFonts w:ascii="Arial" w:hAnsi="Arial" w:cs="Arial"/>
        </w:rPr>
        <w:t xml:space="preserve"> for this group of operating companies</w:t>
      </w:r>
      <w:r>
        <w:rPr>
          <w:rFonts w:ascii="Arial" w:hAnsi="Arial" w:cs="Arial"/>
        </w:rPr>
        <w:t xml:space="preserve">. </w:t>
      </w:r>
      <w:r w:rsidRPr="009947B6">
        <w:rPr>
          <w:rFonts w:ascii="Arial" w:hAnsi="Arial" w:cs="Arial"/>
        </w:rPr>
        <w:t xml:space="preserve"> Execution of hedge transactions for this group occurs </w:t>
      </w:r>
      <w:proofErr w:type="gramStart"/>
      <w:r w:rsidRPr="009947B6">
        <w:rPr>
          <w:rFonts w:ascii="Arial" w:hAnsi="Arial" w:cs="Arial"/>
        </w:rPr>
        <w:t>as a result of</w:t>
      </w:r>
      <w:proofErr w:type="gramEnd"/>
      <w:r w:rsidRPr="009947B6">
        <w:rPr>
          <w:rFonts w:ascii="Arial" w:hAnsi="Arial" w:cs="Arial"/>
        </w:rPr>
        <w:t xml:space="preserve"> having received </w:t>
      </w:r>
      <w:r>
        <w:rPr>
          <w:rFonts w:ascii="Arial" w:hAnsi="Arial" w:cs="Arial"/>
        </w:rPr>
        <w:t xml:space="preserve">previous </w:t>
      </w:r>
      <w:r w:rsidRPr="009947B6">
        <w:rPr>
          <w:rFonts w:ascii="Arial" w:hAnsi="Arial" w:cs="Arial"/>
        </w:rPr>
        <w:t>approval from the appropriate operating company executives.  This approval provides SCS with the guidance and latitude to hedge certain quantities of gas within certain price ranges under specific hedge strategies.  Once approval is granted, SCS may hedge within these approved limits.</w:t>
      </w:r>
      <w:r w:rsidR="001D4FE8">
        <w:rPr>
          <w:rFonts w:ascii="Arial" w:hAnsi="Arial" w:cs="Arial"/>
        </w:rPr>
        <w:t xml:space="preserve">  During periods of sustained upward price movement, SCS may, with appropriate approval of operating company executives, utilize a hedging execution approach </w:t>
      </w:r>
      <w:proofErr w:type="gramStart"/>
      <w:r w:rsidR="001D4FE8">
        <w:rPr>
          <w:rFonts w:ascii="Arial" w:hAnsi="Arial" w:cs="Arial"/>
        </w:rPr>
        <w:t>similar to</w:t>
      </w:r>
      <w:proofErr w:type="gramEnd"/>
      <w:r w:rsidR="001D4FE8">
        <w:rPr>
          <w:rFonts w:ascii="Arial" w:hAnsi="Arial" w:cs="Arial"/>
        </w:rPr>
        <w:t xml:space="preserve"> a volume-cost-averaging methodology.</w:t>
      </w:r>
    </w:p>
    <w:p w14:paraId="7C5A8E2A" w14:textId="77777777" w:rsidR="00F00BD5" w:rsidRDefault="00F00BD5" w:rsidP="00F00BD5">
      <w:pPr>
        <w:jc w:val="both"/>
        <w:rPr>
          <w:rFonts w:ascii="Arial" w:hAnsi="Arial" w:cs="Arial"/>
        </w:rPr>
      </w:pPr>
    </w:p>
    <w:p w14:paraId="390CCFB4" w14:textId="77777777" w:rsidR="00620062" w:rsidRDefault="0020605C" w:rsidP="0020605C">
      <w:pPr>
        <w:pStyle w:val="Footer"/>
        <w:tabs>
          <w:tab w:val="clear" w:pos="4320"/>
          <w:tab w:val="clear" w:pos="8640"/>
        </w:tabs>
        <w:jc w:val="both"/>
        <w:rPr>
          <w:rFonts w:ascii="Arial" w:hAnsi="Arial" w:cs="Arial"/>
          <w:sz w:val="24"/>
          <w:szCs w:val="24"/>
        </w:rPr>
      </w:pPr>
      <w:r>
        <w:rPr>
          <w:rFonts w:ascii="Arial" w:hAnsi="Arial" w:cs="Arial"/>
          <w:sz w:val="24"/>
          <w:szCs w:val="24"/>
        </w:rPr>
        <w:t>Gas trades</w:t>
      </w:r>
      <w:r w:rsidRPr="00F43536">
        <w:rPr>
          <w:rFonts w:ascii="Arial" w:hAnsi="Arial" w:cs="Arial"/>
          <w:sz w:val="24"/>
          <w:szCs w:val="24"/>
        </w:rPr>
        <w:t xml:space="preserve"> </w:t>
      </w:r>
      <w:r>
        <w:rPr>
          <w:rFonts w:ascii="Arial" w:hAnsi="Arial" w:cs="Arial"/>
          <w:sz w:val="24"/>
          <w:szCs w:val="24"/>
        </w:rPr>
        <w:t>are</w:t>
      </w:r>
      <w:r w:rsidRPr="00F43536">
        <w:rPr>
          <w:rFonts w:ascii="Arial" w:hAnsi="Arial" w:cs="Arial"/>
          <w:sz w:val="24"/>
          <w:szCs w:val="24"/>
        </w:rPr>
        <w:t xml:space="preserve"> entered into </w:t>
      </w:r>
      <w:r>
        <w:rPr>
          <w:rFonts w:ascii="Arial" w:hAnsi="Arial" w:cs="Arial"/>
          <w:sz w:val="24"/>
          <w:szCs w:val="24"/>
        </w:rPr>
        <w:t>Attaché Financial</w:t>
      </w:r>
      <w:r w:rsidRPr="00F43536">
        <w:rPr>
          <w:rFonts w:ascii="Arial" w:hAnsi="Arial" w:cs="Arial"/>
          <w:sz w:val="24"/>
          <w:szCs w:val="24"/>
        </w:rPr>
        <w:t>, the SCS deal capture system</w:t>
      </w:r>
      <w:r>
        <w:rPr>
          <w:rFonts w:ascii="Arial" w:hAnsi="Arial" w:cs="Arial"/>
          <w:sz w:val="24"/>
          <w:szCs w:val="24"/>
        </w:rPr>
        <w:t>,</w:t>
      </w:r>
      <w:r w:rsidRPr="00F43536">
        <w:rPr>
          <w:rFonts w:ascii="Arial" w:hAnsi="Arial" w:cs="Arial"/>
          <w:sz w:val="24"/>
          <w:szCs w:val="24"/>
        </w:rPr>
        <w:t xml:space="preserve"> for a specific operating company.  </w:t>
      </w:r>
      <w:r>
        <w:rPr>
          <w:rFonts w:ascii="Arial" w:hAnsi="Arial" w:cs="Arial"/>
          <w:sz w:val="24"/>
          <w:szCs w:val="24"/>
        </w:rPr>
        <w:t>Costs for each OPCO of a particular trade are assigned to and accounted for a specific company.</w:t>
      </w:r>
      <w:r w:rsidRPr="00F43536">
        <w:rPr>
          <w:rFonts w:ascii="Arial" w:hAnsi="Arial" w:cs="Arial"/>
          <w:sz w:val="24"/>
          <w:szCs w:val="24"/>
        </w:rPr>
        <w:t xml:space="preserve"> </w:t>
      </w:r>
      <w:r>
        <w:rPr>
          <w:rFonts w:ascii="Arial" w:hAnsi="Arial" w:cs="Arial"/>
          <w:sz w:val="24"/>
          <w:szCs w:val="24"/>
        </w:rPr>
        <w:t xml:space="preserve"> </w:t>
      </w:r>
      <w:r w:rsidRPr="00F43536">
        <w:rPr>
          <w:rFonts w:ascii="Arial" w:hAnsi="Arial" w:cs="Arial"/>
          <w:sz w:val="24"/>
          <w:szCs w:val="24"/>
        </w:rPr>
        <w:t>For example, when SCS executes a hedge for Georgia Power, it is entered into Georgia Power’s gas book via the SCS hedge accounting system (</w:t>
      </w:r>
      <w:r>
        <w:rPr>
          <w:rFonts w:ascii="Arial" w:hAnsi="Arial" w:cs="Arial"/>
          <w:sz w:val="24"/>
          <w:szCs w:val="24"/>
        </w:rPr>
        <w:t>Attaché Financial</w:t>
      </w:r>
      <w:r w:rsidRPr="00F43536">
        <w:rPr>
          <w:rFonts w:ascii="Arial" w:hAnsi="Arial" w:cs="Arial"/>
          <w:sz w:val="24"/>
          <w:szCs w:val="24"/>
        </w:rPr>
        <w:t xml:space="preserve">). </w:t>
      </w:r>
    </w:p>
    <w:p w14:paraId="3B88FC57" w14:textId="77777777" w:rsidR="00620062" w:rsidRDefault="00620062" w:rsidP="0020605C">
      <w:pPr>
        <w:pStyle w:val="Footer"/>
        <w:tabs>
          <w:tab w:val="clear" w:pos="4320"/>
          <w:tab w:val="clear" w:pos="8640"/>
        </w:tabs>
        <w:jc w:val="both"/>
        <w:rPr>
          <w:rFonts w:ascii="Arial" w:hAnsi="Arial" w:cs="Arial"/>
          <w:sz w:val="24"/>
          <w:szCs w:val="24"/>
        </w:rPr>
      </w:pPr>
    </w:p>
    <w:p w14:paraId="1145682E" w14:textId="77777777" w:rsidR="0020605C" w:rsidRDefault="0020605C" w:rsidP="0020605C">
      <w:pPr>
        <w:pStyle w:val="Footer"/>
        <w:tabs>
          <w:tab w:val="clear" w:pos="4320"/>
          <w:tab w:val="clear" w:pos="8640"/>
        </w:tabs>
        <w:jc w:val="both"/>
        <w:rPr>
          <w:rFonts w:ascii="Arial" w:hAnsi="Arial" w:cs="Arial"/>
          <w:sz w:val="24"/>
          <w:szCs w:val="24"/>
        </w:rPr>
      </w:pPr>
      <w:r>
        <w:rPr>
          <w:rFonts w:ascii="Arial" w:hAnsi="Arial" w:cs="Arial"/>
          <w:sz w:val="24"/>
          <w:szCs w:val="24"/>
        </w:rPr>
        <w:t>Pages 2 and 3 contain</w:t>
      </w:r>
      <w:r w:rsidRPr="00F43536">
        <w:rPr>
          <w:rFonts w:ascii="Arial" w:hAnsi="Arial" w:cs="Arial"/>
          <w:sz w:val="24"/>
          <w:szCs w:val="24"/>
        </w:rPr>
        <w:t xml:space="preserve"> a summary of the administrative costs of the hedging program and a summa</w:t>
      </w:r>
      <w:r>
        <w:rPr>
          <w:rFonts w:ascii="Arial" w:hAnsi="Arial" w:cs="Arial"/>
          <w:sz w:val="24"/>
          <w:szCs w:val="24"/>
        </w:rPr>
        <w:t xml:space="preserve">ry of hedging gains and losses.  </w:t>
      </w:r>
    </w:p>
    <w:p w14:paraId="2EBA66A2" w14:textId="77777777" w:rsidR="00F00BD5" w:rsidRDefault="00F00BD5" w:rsidP="00F00BD5">
      <w:pPr>
        <w:pStyle w:val="Footer"/>
        <w:tabs>
          <w:tab w:val="clear" w:pos="4320"/>
          <w:tab w:val="clear" w:pos="8640"/>
        </w:tabs>
        <w:jc w:val="both"/>
        <w:rPr>
          <w:rFonts w:ascii="Arial" w:hAnsi="Arial" w:cs="Arial"/>
          <w:sz w:val="24"/>
          <w:szCs w:val="24"/>
        </w:rPr>
      </w:pPr>
    </w:p>
    <w:p w14:paraId="400017FD" w14:textId="77777777" w:rsidR="0020605C" w:rsidRDefault="0020605C" w:rsidP="0020605C">
      <w:pPr>
        <w:jc w:val="both"/>
        <w:rPr>
          <w:rFonts w:ascii="Arial" w:hAnsi="Arial" w:cs="Arial"/>
        </w:rPr>
      </w:pPr>
      <w:r>
        <w:rPr>
          <w:rFonts w:ascii="Arial" w:hAnsi="Arial" w:cs="Arial"/>
        </w:rPr>
        <w:t>Additionally, SCS operates per the applicable hedging orders issued by each Public Service Commission.  In 2007, the Georgia Public Service Commission issued a Hedging Policy Statement as an amendment to the ongoing Hedging Program in Docket No. 22403.  In 2012, the Georgia Public Service Commission revised the Hedging Policy Statement in Docket No. 16134.  In 2015, the Georgia Public Service Commission revised the parameters of the hedging program in Docket No. 39638</w:t>
      </w:r>
      <w:r w:rsidR="001D4FE8">
        <w:rPr>
          <w:rFonts w:ascii="Arial" w:hAnsi="Arial" w:cs="Arial"/>
        </w:rPr>
        <w:t>.  In 2020, the Georgia Public Service Commission revised the parameters of the hedging program in Docket No. 43011.</w:t>
      </w:r>
    </w:p>
    <w:p w14:paraId="5EA51528" w14:textId="77777777" w:rsidR="00F00BD5" w:rsidRDefault="00F00BD5" w:rsidP="00F00BD5">
      <w:pPr>
        <w:pStyle w:val="Footer"/>
        <w:tabs>
          <w:tab w:val="clear" w:pos="4320"/>
          <w:tab w:val="clear" w:pos="8640"/>
        </w:tabs>
        <w:jc w:val="both"/>
        <w:rPr>
          <w:rFonts w:ascii="Arial" w:hAnsi="Arial" w:cs="Arial"/>
          <w:sz w:val="24"/>
          <w:szCs w:val="24"/>
        </w:rPr>
      </w:pPr>
    </w:p>
    <w:p w14:paraId="7E298DF9" w14:textId="77777777" w:rsidR="00F00BD5" w:rsidRDefault="00F00BD5" w:rsidP="00F00BD5">
      <w:pPr>
        <w:pStyle w:val="Footer"/>
        <w:tabs>
          <w:tab w:val="clear" w:pos="4320"/>
          <w:tab w:val="clear" w:pos="8640"/>
        </w:tabs>
        <w:jc w:val="both"/>
        <w:rPr>
          <w:rFonts w:ascii="Arial" w:hAnsi="Arial" w:cs="Arial"/>
          <w:sz w:val="24"/>
          <w:szCs w:val="24"/>
        </w:rPr>
      </w:pPr>
    </w:p>
    <w:p w14:paraId="1B387F9F" w14:textId="77777777" w:rsidR="00F00BD5" w:rsidRDefault="00F00BD5" w:rsidP="00F00BD5">
      <w:pPr>
        <w:pStyle w:val="Footer"/>
        <w:tabs>
          <w:tab w:val="clear" w:pos="4320"/>
          <w:tab w:val="clear" w:pos="8640"/>
        </w:tabs>
        <w:jc w:val="both"/>
        <w:rPr>
          <w:rFonts w:ascii="Arial" w:hAnsi="Arial" w:cs="Arial"/>
          <w:sz w:val="24"/>
          <w:szCs w:val="24"/>
        </w:rPr>
      </w:pPr>
    </w:p>
    <w:p w14:paraId="6184BB78" w14:textId="77777777" w:rsidR="00F00BD5" w:rsidRDefault="00F00BD5" w:rsidP="00F00BD5">
      <w:pPr>
        <w:pStyle w:val="Footer"/>
        <w:tabs>
          <w:tab w:val="clear" w:pos="4320"/>
          <w:tab w:val="clear" w:pos="8640"/>
        </w:tabs>
        <w:jc w:val="both"/>
        <w:rPr>
          <w:rFonts w:ascii="Arial" w:hAnsi="Arial" w:cs="Arial"/>
          <w:sz w:val="24"/>
          <w:szCs w:val="24"/>
        </w:rPr>
        <w:sectPr w:rsidR="00F00BD5">
          <w:headerReference w:type="default" r:id="rId6"/>
          <w:footerReference w:type="default" r:id="rId7"/>
          <w:pgSz w:w="12240" w:h="15840"/>
          <w:pgMar w:top="1440" w:right="1800" w:bottom="1440" w:left="1800" w:header="720" w:footer="720" w:gutter="0"/>
          <w:cols w:space="720"/>
          <w:docGrid w:linePitch="360"/>
        </w:sectPr>
      </w:pPr>
      <w:r>
        <w:rPr>
          <w:rFonts w:ascii="Arial" w:hAnsi="Arial" w:cs="Arial"/>
          <w:sz w:val="24"/>
          <w:szCs w:val="24"/>
        </w:rPr>
        <w:t xml:space="preserve">* SCS executes hedge transactions for Southern Power at </w:t>
      </w:r>
      <w:r w:rsidR="00D96016">
        <w:rPr>
          <w:rFonts w:ascii="Arial" w:hAnsi="Arial" w:cs="Arial"/>
          <w:sz w:val="24"/>
          <w:szCs w:val="24"/>
        </w:rPr>
        <w:t>Southern Power’s</w:t>
      </w:r>
      <w:r>
        <w:rPr>
          <w:rFonts w:ascii="Arial" w:hAnsi="Arial" w:cs="Arial"/>
          <w:sz w:val="24"/>
          <w:szCs w:val="24"/>
        </w:rPr>
        <w:t xml:space="preserve"> direction.</w:t>
      </w:r>
    </w:p>
    <w:p w14:paraId="3C18DA16" w14:textId="77777777" w:rsidR="003970CE" w:rsidRDefault="003970CE" w:rsidP="00F00BD5">
      <w:pPr>
        <w:rPr>
          <w:rFonts w:ascii="Arial" w:hAnsi="Arial" w:cs="Arial"/>
          <w:szCs w:val="24"/>
        </w:rPr>
      </w:pPr>
    </w:p>
    <w:p w14:paraId="207362A0" w14:textId="77777777" w:rsidR="00CE7A3D" w:rsidRDefault="003970CE" w:rsidP="00CE7A3D">
      <w:pPr>
        <w:pStyle w:val="Footer"/>
        <w:tabs>
          <w:tab w:val="clear" w:pos="4320"/>
          <w:tab w:val="clear" w:pos="8640"/>
        </w:tabs>
        <w:rPr>
          <w:rFonts w:ascii="Arial" w:hAnsi="Arial" w:cs="Arial"/>
          <w:b/>
          <w:sz w:val="24"/>
          <w:szCs w:val="24"/>
        </w:rPr>
      </w:pPr>
      <w:r w:rsidRPr="008C2A16">
        <w:rPr>
          <w:rFonts w:ascii="Arial" w:hAnsi="Arial" w:cs="Arial"/>
          <w:b/>
          <w:sz w:val="24"/>
          <w:szCs w:val="24"/>
        </w:rPr>
        <w:t>Administrative Costs</w:t>
      </w:r>
      <w:r w:rsidR="007E5764">
        <w:rPr>
          <w:rFonts w:ascii="Arial" w:hAnsi="Arial" w:cs="Arial"/>
          <w:b/>
          <w:sz w:val="24"/>
          <w:szCs w:val="24"/>
        </w:rPr>
        <w:t>:</w:t>
      </w:r>
    </w:p>
    <w:p w14:paraId="059B456F" w14:textId="1A980123" w:rsidR="003970CE" w:rsidRDefault="00230413" w:rsidP="00CE7A3D">
      <w:pPr>
        <w:pStyle w:val="Footer"/>
        <w:tabs>
          <w:tab w:val="clear" w:pos="4320"/>
          <w:tab w:val="clear" w:pos="8640"/>
        </w:tabs>
        <w:jc w:val="center"/>
        <w:rPr>
          <w:rFonts w:ascii="Arial" w:hAnsi="Arial" w:cs="Arial"/>
          <w:sz w:val="24"/>
          <w:szCs w:val="24"/>
        </w:rPr>
      </w:pPr>
      <w:r w:rsidRPr="001A5A73">
        <w:rPr>
          <w:noProof/>
        </w:rPr>
        <w:drawing>
          <wp:inline distT="0" distB="0" distL="0" distR="0" wp14:anchorId="36E9C1D3" wp14:editId="1D45D20D">
            <wp:extent cx="2762250" cy="6772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2250" cy="6772275"/>
                    </a:xfrm>
                    <a:prstGeom prst="rect">
                      <a:avLst/>
                    </a:prstGeom>
                    <a:noFill/>
                    <a:ln>
                      <a:noFill/>
                    </a:ln>
                  </pic:spPr>
                </pic:pic>
              </a:graphicData>
            </a:graphic>
          </wp:inline>
        </w:drawing>
      </w:r>
    </w:p>
    <w:p w14:paraId="30C3545E" w14:textId="77777777" w:rsidR="00B07846" w:rsidRDefault="00B07846" w:rsidP="003970CE">
      <w:pPr>
        <w:pStyle w:val="Footer"/>
        <w:tabs>
          <w:tab w:val="clear" w:pos="4320"/>
          <w:tab w:val="clear" w:pos="8640"/>
        </w:tabs>
        <w:rPr>
          <w:rFonts w:ascii="Arial" w:hAnsi="Arial" w:cs="Arial"/>
          <w:sz w:val="24"/>
          <w:szCs w:val="24"/>
        </w:rPr>
      </w:pPr>
    </w:p>
    <w:p w14:paraId="508877F5" w14:textId="77777777" w:rsidR="003970CE" w:rsidRDefault="003970CE" w:rsidP="003970CE">
      <w:pPr>
        <w:pStyle w:val="Footer"/>
        <w:tabs>
          <w:tab w:val="clear" w:pos="4320"/>
          <w:tab w:val="clear" w:pos="8640"/>
        </w:tabs>
        <w:rPr>
          <w:rFonts w:ascii="Arial" w:hAnsi="Arial" w:cs="Arial"/>
          <w:sz w:val="24"/>
          <w:szCs w:val="24"/>
        </w:rPr>
      </w:pPr>
      <w:r>
        <w:rPr>
          <w:rFonts w:ascii="Arial" w:hAnsi="Arial" w:cs="Arial"/>
          <w:sz w:val="24"/>
          <w:szCs w:val="24"/>
        </w:rPr>
        <w:t>Note:  SCS allocates a portion of the administrative costs of the Company’s hedging program</w:t>
      </w:r>
      <w:r w:rsidR="00CD6B4F">
        <w:rPr>
          <w:rFonts w:ascii="Arial" w:hAnsi="Arial" w:cs="Arial"/>
          <w:sz w:val="24"/>
          <w:szCs w:val="24"/>
        </w:rPr>
        <w:t xml:space="preserve"> per the GPC Fuel Order (</w:t>
      </w:r>
      <w:r w:rsidR="007E5764">
        <w:rPr>
          <w:rFonts w:ascii="Arial" w:hAnsi="Arial" w:cs="Arial"/>
          <w:sz w:val="24"/>
          <w:szCs w:val="24"/>
        </w:rPr>
        <w:t xml:space="preserve">Docket No. </w:t>
      </w:r>
      <w:r w:rsidR="00CD6B4F">
        <w:rPr>
          <w:rFonts w:ascii="Arial" w:hAnsi="Arial" w:cs="Arial"/>
          <w:sz w:val="24"/>
          <w:szCs w:val="24"/>
        </w:rPr>
        <w:t>19142</w:t>
      </w:r>
      <w:r>
        <w:rPr>
          <w:rFonts w:ascii="Arial" w:hAnsi="Arial" w:cs="Arial"/>
          <w:sz w:val="24"/>
          <w:szCs w:val="24"/>
        </w:rPr>
        <w:t xml:space="preserve">) issued May 2005. </w:t>
      </w:r>
    </w:p>
    <w:p w14:paraId="1E6EDBBB" w14:textId="77777777" w:rsidR="00A62555" w:rsidRDefault="00A62555" w:rsidP="003970CE">
      <w:pPr>
        <w:pStyle w:val="Footer"/>
        <w:tabs>
          <w:tab w:val="clear" w:pos="4320"/>
          <w:tab w:val="clear" w:pos="8640"/>
        </w:tabs>
        <w:rPr>
          <w:rFonts w:ascii="Arial" w:hAnsi="Arial" w:cs="Arial"/>
          <w:b/>
          <w:sz w:val="24"/>
          <w:szCs w:val="24"/>
        </w:rPr>
      </w:pPr>
    </w:p>
    <w:p w14:paraId="1DF053BA" w14:textId="77777777" w:rsidR="001A5A73" w:rsidRDefault="001A5A73" w:rsidP="003970CE">
      <w:pPr>
        <w:pStyle w:val="Footer"/>
        <w:tabs>
          <w:tab w:val="clear" w:pos="4320"/>
          <w:tab w:val="clear" w:pos="8640"/>
        </w:tabs>
        <w:rPr>
          <w:rFonts w:ascii="Arial" w:hAnsi="Arial" w:cs="Arial"/>
          <w:b/>
          <w:sz w:val="24"/>
          <w:szCs w:val="24"/>
        </w:rPr>
      </w:pPr>
    </w:p>
    <w:p w14:paraId="27C8C24A" w14:textId="77777777" w:rsidR="001A5A73" w:rsidRDefault="001A5A73" w:rsidP="003970CE">
      <w:pPr>
        <w:pStyle w:val="Footer"/>
        <w:tabs>
          <w:tab w:val="clear" w:pos="4320"/>
          <w:tab w:val="clear" w:pos="8640"/>
        </w:tabs>
        <w:rPr>
          <w:rFonts w:ascii="Arial" w:hAnsi="Arial" w:cs="Arial"/>
          <w:b/>
          <w:sz w:val="24"/>
          <w:szCs w:val="24"/>
        </w:rPr>
      </w:pPr>
    </w:p>
    <w:p w14:paraId="5BD261CE" w14:textId="77777777" w:rsidR="001A5A73" w:rsidRDefault="001A5A73" w:rsidP="003970CE">
      <w:pPr>
        <w:pStyle w:val="Footer"/>
        <w:tabs>
          <w:tab w:val="clear" w:pos="4320"/>
          <w:tab w:val="clear" w:pos="8640"/>
        </w:tabs>
        <w:rPr>
          <w:rFonts w:ascii="Arial" w:hAnsi="Arial" w:cs="Arial"/>
          <w:b/>
          <w:sz w:val="24"/>
          <w:szCs w:val="24"/>
        </w:rPr>
      </w:pPr>
    </w:p>
    <w:p w14:paraId="30FEFC45" w14:textId="77777777" w:rsidR="003970CE" w:rsidRDefault="00A86E34" w:rsidP="003970CE">
      <w:pPr>
        <w:pStyle w:val="Footer"/>
        <w:tabs>
          <w:tab w:val="clear" w:pos="4320"/>
          <w:tab w:val="clear" w:pos="8640"/>
        </w:tabs>
        <w:rPr>
          <w:rFonts w:ascii="Arial" w:hAnsi="Arial" w:cs="Arial"/>
          <w:b/>
          <w:sz w:val="24"/>
          <w:szCs w:val="24"/>
        </w:rPr>
      </w:pPr>
      <w:r>
        <w:rPr>
          <w:rFonts w:ascii="Arial" w:hAnsi="Arial" w:cs="Arial"/>
          <w:b/>
          <w:sz w:val="24"/>
          <w:szCs w:val="24"/>
        </w:rPr>
        <w:t xml:space="preserve">Realized </w:t>
      </w:r>
      <w:r w:rsidR="003970CE" w:rsidRPr="008C2A16">
        <w:rPr>
          <w:rFonts w:ascii="Arial" w:hAnsi="Arial" w:cs="Arial"/>
          <w:b/>
          <w:sz w:val="24"/>
          <w:szCs w:val="24"/>
        </w:rPr>
        <w:t>Hedging Gains/</w:t>
      </w:r>
      <w:r w:rsidR="00A62555">
        <w:rPr>
          <w:rFonts w:ascii="Arial" w:hAnsi="Arial" w:cs="Arial"/>
          <w:b/>
          <w:sz w:val="24"/>
          <w:szCs w:val="24"/>
        </w:rPr>
        <w:t>(Losses)</w:t>
      </w:r>
      <w:r w:rsidR="003970CE" w:rsidRPr="008C2A16">
        <w:rPr>
          <w:rFonts w:ascii="Arial" w:hAnsi="Arial" w:cs="Arial"/>
          <w:b/>
          <w:sz w:val="24"/>
          <w:szCs w:val="24"/>
        </w:rPr>
        <w:t>:</w:t>
      </w:r>
    </w:p>
    <w:p w14:paraId="4120B424" w14:textId="661377E1" w:rsidR="00A62555" w:rsidRPr="00CE7A3D" w:rsidRDefault="00230413" w:rsidP="00CE7A3D">
      <w:pPr>
        <w:pStyle w:val="Footer"/>
        <w:tabs>
          <w:tab w:val="clear" w:pos="4320"/>
          <w:tab w:val="clear" w:pos="8640"/>
        </w:tabs>
        <w:jc w:val="center"/>
        <w:rPr>
          <w:rFonts w:ascii="Arial" w:hAnsi="Arial" w:cs="Arial"/>
          <w:b/>
          <w:sz w:val="24"/>
          <w:szCs w:val="24"/>
        </w:rPr>
      </w:pPr>
      <w:r w:rsidRPr="001A5A73">
        <w:rPr>
          <w:noProof/>
        </w:rPr>
        <w:drawing>
          <wp:inline distT="0" distB="0" distL="0" distR="0" wp14:anchorId="40BD8468" wp14:editId="00981969">
            <wp:extent cx="3448050" cy="6772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48050" cy="6772275"/>
                    </a:xfrm>
                    <a:prstGeom prst="rect">
                      <a:avLst/>
                    </a:prstGeom>
                    <a:noFill/>
                    <a:ln>
                      <a:noFill/>
                    </a:ln>
                  </pic:spPr>
                </pic:pic>
              </a:graphicData>
            </a:graphic>
          </wp:inline>
        </w:drawing>
      </w:r>
    </w:p>
    <w:p w14:paraId="1EAB9116" w14:textId="77777777" w:rsidR="00037B99" w:rsidRDefault="00A86E34" w:rsidP="00A62555">
      <w:pPr>
        <w:pStyle w:val="Footer"/>
        <w:tabs>
          <w:tab w:val="clear" w:pos="4320"/>
          <w:tab w:val="clear" w:pos="8640"/>
        </w:tabs>
        <w:jc w:val="center"/>
      </w:pPr>
      <w:r>
        <w:rPr>
          <w:rFonts w:ascii="Arial" w:hAnsi="Arial" w:cs="Arial"/>
          <w:sz w:val="24"/>
          <w:szCs w:val="24"/>
        </w:rPr>
        <w:t>* Includes option premiums</w:t>
      </w:r>
    </w:p>
    <w:sectPr w:rsidR="00037B99" w:rsidSect="00C14337">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84BFD" w14:textId="77777777" w:rsidR="006829A7" w:rsidRDefault="006829A7">
      <w:r>
        <w:separator/>
      </w:r>
    </w:p>
  </w:endnote>
  <w:endnote w:type="continuationSeparator" w:id="0">
    <w:p w14:paraId="3DA95046" w14:textId="77777777" w:rsidR="006829A7" w:rsidRDefault="00682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DB299" w14:textId="7CA624DF" w:rsidR="00F00BD5" w:rsidRPr="00E932CA" w:rsidRDefault="00D17BEF" w:rsidP="002339F2">
    <w:pPr>
      <w:pStyle w:val="Footer"/>
      <w:jc w:val="center"/>
      <w:rPr>
        <w:rFonts w:ascii="Arial" w:hAnsi="Arial" w:cs="Arial"/>
      </w:rPr>
    </w:pPr>
    <w:r>
      <w:rPr>
        <w:rStyle w:val="PageNumber"/>
        <w:rFonts w:ascii="Arial" w:hAnsi="Arial" w:cs="Arial"/>
      </w:rPr>
      <w:tab/>
    </w:r>
    <w:r>
      <w:rPr>
        <w:rStyle w:val="PageNumber"/>
        <w:rFonts w:ascii="Arial" w:hAnsi="Arial" w:cs="Arial"/>
      </w:rPr>
      <w:tab/>
    </w:r>
    <w:r w:rsidR="00F00BD5" w:rsidRPr="00E932CA">
      <w:rPr>
        <w:rStyle w:val="PageNumber"/>
        <w:rFonts w:ascii="Arial" w:hAnsi="Arial" w:cs="Arial"/>
      </w:rPr>
      <w:t xml:space="preserve">Page </w:t>
    </w:r>
    <w:r w:rsidR="0082405B" w:rsidRPr="00E932CA">
      <w:rPr>
        <w:rStyle w:val="PageNumber"/>
        <w:rFonts w:ascii="Arial" w:hAnsi="Arial" w:cs="Arial"/>
      </w:rPr>
      <w:fldChar w:fldCharType="begin"/>
    </w:r>
    <w:r w:rsidR="00F00BD5" w:rsidRPr="00E932CA">
      <w:rPr>
        <w:rStyle w:val="PageNumber"/>
        <w:rFonts w:ascii="Arial" w:hAnsi="Arial" w:cs="Arial"/>
      </w:rPr>
      <w:instrText xml:space="preserve"> PAGE </w:instrText>
    </w:r>
    <w:r w:rsidR="0082405B" w:rsidRPr="00E932CA">
      <w:rPr>
        <w:rStyle w:val="PageNumber"/>
        <w:rFonts w:ascii="Arial" w:hAnsi="Arial" w:cs="Arial"/>
      </w:rPr>
      <w:fldChar w:fldCharType="separate"/>
    </w:r>
    <w:r w:rsidR="00325454">
      <w:rPr>
        <w:rStyle w:val="PageNumber"/>
        <w:rFonts w:ascii="Arial" w:hAnsi="Arial" w:cs="Arial"/>
        <w:noProof/>
      </w:rPr>
      <w:t>1</w:t>
    </w:r>
    <w:r w:rsidR="0082405B" w:rsidRPr="00E932CA">
      <w:rPr>
        <w:rStyle w:val="PageNumber"/>
        <w:rFonts w:ascii="Arial" w:hAnsi="Arial" w:cs="Arial"/>
      </w:rPr>
      <w:fldChar w:fldCharType="end"/>
    </w:r>
    <w:r w:rsidR="00F00BD5" w:rsidRPr="00E932CA">
      <w:rPr>
        <w:rStyle w:val="PageNumber"/>
        <w:rFonts w:ascii="Arial" w:hAnsi="Arial" w:cs="Arial"/>
      </w:rPr>
      <w:t xml:space="preserve"> of </w:t>
    </w:r>
    <w:r w:rsidR="0082405B" w:rsidRPr="00E932CA">
      <w:rPr>
        <w:rStyle w:val="PageNumber"/>
        <w:rFonts w:ascii="Arial" w:hAnsi="Arial" w:cs="Arial"/>
      </w:rPr>
      <w:fldChar w:fldCharType="begin"/>
    </w:r>
    <w:r w:rsidR="00F00BD5" w:rsidRPr="00E932CA">
      <w:rPr>
        <w:rStyle w:val="PageNumber"/>
        <w:rFonts w:ascii="Arial" w:hAnsi="Arial" w:cs="Arial"/>
      </w:rPr>
      <w:instrText xml:space="preserve"> NUMPAGES </w:instrText>
    </w:r>
    <w:r w:rsidR="0082405B" w:rsidRPr="00E932CA">
      <w:rPr>
        <w:rStyle w:val="PageNumber"/>
        <w:rFonts w:ascii="Arial" w:hAnsi="Arial" w:cs="Arial"/>
      </w:rPr>
      <w:fldChar w:fldCharType="separate"/>
    </w:r>
    <w:r w:rsidR="00325454">
      <w:rPr>
        <w:rStyle w:val="PageNumber"/>
        <w:rFonts w:ascii="Arial" w:hAnsi="Arial" w:cs="Arial"/>
        <w:noProof/>
      </w:rPr>
      <w:t>3</w:t>
    </w:r>
    <w:r w:rsidR="0082405B" w:rsidRPr="00E932CA">
      <w:rPr>
        <w:rStyle w:val="PageNumbe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F9714" w14:textId="77777777" w:rsidR="00A86E34" w:rsidRDefault="00A86E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96F1E" w14:textId="40F43D13" w:rsidR="00A86E34" w:rsidRPr="00E932CA" w:rsidRDefault="00D17BEF" w:rsidP="002339F2">
    <w:pPr>
      <w:pStyle w:val="Footer"/>
      <w:jc w:val="center"/>
      <w:rPr>
        <w:rFonts w:ascii="Arial" w:hAnsi="Arial" w:cs="Arial"/>
      </w:rPr>
    </w:pPr>
    <w:r>
      <w:rPr>
        <w:rStyle w:val="PageNumber"/>
        <w:rFonts w:ascii="Arial" w:hAnsi="Arial" w:cs="Arial"/>
      </w:rPr>
      <w:tab/>
    </w:r>
    <w:r>
      <w:rPr>
        <w:rStyle w:val="PageNumber"/>
        <w:rFonts w:ascii="Arial" w:hAnsi="Arial" w:cs="Arial"/>
      </w:rPr>
      <w:tab/>
    </w:r>
    <w:r w:rsidR="00A86E34" w:rsidRPr="00E932CA">
      <w:rPr>
        <w:rStyle w:val="PageNumber"/>
        <w:rFonts w:ascii="Arial" w:hAnsi="Arial" w:cs="Arial"/>
      </w:rPr>
      <w:t xml:space="preserve">Page </w:t>
    </w:r>
    <w:r w:rsidR="0082405B" w:rsidRPr="00E932CA">
      <w:rPr>
        <w:rStyle w:val="PageNumber"/>
        <w:rFonts w:ascii="Arial" w:hAnsi="Arial" w:cs="Arial"/>
      </w:rPr>
      <w:fldChar w:fldCharType="begin"/>
    </w:r>
    <w:r w:rsidR="00A86E34" w:rsidRPr="00E932CA">
      <w:rPr>
        <w:rStyle w:val="PageNumber"/>
        <w:rFonts w:ascii="Arial" w:hAnsi="Arial" w:cs="Arial"/>
      </w:rPr>
      <w:instrText xml:space="preserve"> PAGE </w:instrText>
    </w:r>
    <w:r w:rsidR="0082405B" w:rsidRPr="00E932CA">
      <w:rPr>
        <w:rStyle w:val="PageNumber"/>
        <w:rFonts w:ascii="Arial" w:hAnsi="Arial" w:cs="Arial"/>
      </w:rPr>
      <w:fldChar w:fldCharType="separate"/>
    </w:r>
    <w:r w:rsidR="00325454">
      <w:rPr>
        <w:rStyle w:val="PageNumber"/>
        <w:rFonts w:ascii="Arial" w:hAnsi="Arial" w:cs="Arial"/>
        <w:noProof/>
      </w:rPr>
      <w:t>2</w:t>
    </w:r>
    <w:r w:rsidR="0082405B" w:rsidRPr="00E932CA">
      <w:rPr>
        <w:rStyle w:val="PageNumber"/>
        <w:rFonts w:ascii="Arial" w:hAnsi="Arial" w:cs="Arial"/>
      </w:rPr>
      <w:fldChar w:fldCharType="end"/>
    </w:r>
    <w:r w:rsidR="00A86E34" w:rsidRPr="00E932CA">
      <w:rPr>
        <w:rStyle w:val="PageNumber"/>
        <w:rFonts w:ascii="Arial" w:hAnsi="Arial" w:cs="Arial"/>
      </w:rPr>
      <w:t xml:space="preserve"> of </w:t>
    </w:r>
    <w:r w:rsidR="0082405B" w:rsidRPr="00E932CA">
      <w:rPr>
        <w:rStyle w:val="PageNumber"/>
        <w:rFonts w:ascii="Arial" w:hAnsi="Arial" w:cs="Arial"/>
      </w:rPr>
      <w:fldChar w:fldCharType="begin"/>
    </w:r>
    <w:r w:rsidR="00A86E34" w:rsidRPr="00E932CA">
      <w:rPr>
        <w:rStyle w:val="PageNumber"/>
        <w:rFonts w:ascii="Arial" w:hAnsi="Arial" w:cs="Arial"/>
      </w:rPr>
      <w:instrText xml:space="preserve"> NUMPAGES </w:instrText>
    </w:r>
    <w:r w:rsidR="0082405B" w:rsidRPr="00E932CA">
      <w:rPr>
        <w:rStyle w:val="PageNumber"/>
        <w:rFonts w:ascii="Arial" w:hAnsi="Arial" w:cs="Arial"/>
      </w:rPr>
      <w:fldChar w:fldCharType="separate"/>
    </w:r>
    <w:r w:rsidR="00325454">
      <w:rPr>
        <w:rStyle w:val="PageNumber"/>
        <w:rFonts w:ascii="Arial" w:hAnsi="Arial" w:cs="Arial"/>
        <w:noProof/>
      </w:rPr>
      <w:t>3</w:t>
    </w:r>
    <w:r w:rsidR="0082405B" w:rsidRPr="00E932CA">
      <w:rPr>
        <w:rStyle w:val="PageNumber"/>
        <w:rFonts w:ascii="Arial" w:hAnsi="Arial" w:cs="Ari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66275" w14:textId="77777777" w:rsidR="00A86E34" w:rsidRDefault="00A86E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D71EF" w14:textId="77777777" w:rsidR="006829A7" w:rsidRDefault="006829A7">
      <w:r>
        <w:separator/>
      </w:r>
    </w:p>
  </w:footnote>
  <w:footnote w:type="continuationSeparator" w:id="0">
    <w:p w14:paraId="658E28D4" w14:textId="77777777" w:rsidR="006829A7" w:rsidRDefault="00682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7C3A" w14:textId="039ED874" w:rsidR="00F00BD5" w:rsidRDefault="00F00BD5" w:rsidP="002339F2">
    <w:pPr>
      <w:pStyle w:val="Header"/>
      <w:jc w:val="right"/>
      <w:rPr>
        <w:rFonts w:ascii="Arial" w:hAnsi="Arial" w:cs="Arial"/>
      </w:rPr>
    </w:pPr>
    <w:r w:rsidRPr="00D259BF">
      <w:rPr>
        <w:rFonts w:ascii="Arial" w:hAnsi="Arial" w:cs="Arial"/>
      </w:rPr>
      <w:t>MFRH-10</w:t>
    </w:r>
  </w:p>
  <w:p w14:paraId="335101B3" w14:textId="77777777" w:rsidR="00471DDA" w:rsidRPr="00620062" w:rsidRDefault="00471DDA" w:rsidP="00471DDA">
    <w:pPr>
      <w:pStyle w:val="Header"/>
      <w:jc w:val="right"/>
      <w:rPr>
        <w:rFonts w:ascii="Arial" w:hAnsi="Arial" w:cs="Arial"/>
        <w:b/>
        <w:bCs/>
        <w:color w:val="FF0000"/>
      </w:rPr>
    </w:pPr>
    <w:r w:rsidRPr="00620062">
      <w:rPr>
        <w:rFonts w:ascii="Arial" w:hAnsi="Arial" w:cs="Arial"/>
        <w:b/>
        <w:bCs/>
        <w:color w:val="FF0000"/>
      </w:rPr>
      <w:t>PUBLIC DISCLOSURE</w:t>
    </w:r>
  </w:p>
  <w:p w14:paraId="08F281EF" w14:textId="77777777" w:rsidR="00F00BD5" w:rsidRPr="00D259BF" w:rsidRDefault="00F00BD5" w:rsidP="002339F2">
    <w:pPr>
      <w:rPr>
        <w:rFonts w:ascii="Arial" w:hAnsi="Arial" w:cs="Arial"/>
      </w:rPr>
    </w:pPr>
    <w:r w:rsidRPr="00D259BF">
      <w:rPr>
        <w:rFonts w:ascii="Arial" w:hAnsi="Arial" w:cs="Arial"/>
        <w:b/>
        <w:sz w:val="28"/>
        <w:szCs w:val="28"/>
      </w:rPr>
      <w:t xml:space="preserve">Natural Gas Hedging </w:t>
    </w:r>
    <w:r w:rsidRPr="00D259BF">
      <w:rPr>
        <w:rFonts w:ascii="Arial" w:hAnsi="Arial" w:cs="Arial"/>
        <w:b/>
        <w:sz w:val="28"/>
        <w:szCs w:val="28"/>
      </w:rPr>
      <w:tab/>
    </w:r>
    <w:r w:rsidRPr="00D259BF">
      <w:rPr>
        <w:rFonts w:ascii="Arial" w:hAnsi="Arial" w:cs="Arial"/>
        <w:b/>
        <w:sz w:val="28"/>
        <w:szCs w:val="28"/>
      </w:rPr>
      <w:tab/>
    </w:r>
    <w:r w:rsidRPr="00D259BF">
      <w:rPr>
        <w:rFonts w:ascii="Arial" w:hAnsi="Arial" w:cs="Arial"/>
        <w:b/>
        <w:sz w:val="28"/>
        <w:szCs w:val="28"/>
      </w:rPr>
      <w:tab/>
    </w:r>
    <w:r w:rsidRPr="00D259BF">
      <w:rPr>
        <w:rFonts w:ascii="Arial" w:hAnsi="Arial" w:cs="Arial"/>
        <w:b/>
        <w:sz w:val="28"/>
        <w:szCs w:val="28"/>
      </w:rPr>
      <w:tab/>
    </w:r>
    <w:r w:rsidRPr="00D259BF">
      <w:rPr>
        <w:rFonts w:ascii="Arial" w:hAnsi="Arial" w:cs="Arial"/>
        <w:b/>
        <w:sz w:val="28"/>
        <w:szCs w:val="28"/>
      </w:rPr>
      <w:tab/>
    </w:r>
    <w:r w:rsidRPr="00D259BF">
      <w:rPr>
        <w:rFonts w:ascii="Arial" w:hAnsi="Arial" w:cs="Arial"/>
        <w:b/>
        <w:sz w:val="28"/>
        <w:szCs w:val="28"/>
      </w:rPr>
      <w:tab/>
      <w:t xml:space="preserve">   </w:t>
    </w:r>
    <w:r w:rsidRPr="00D259BF">
      <w:rPr>
        <w:rFonts w:ascii="Arial" w:hAnsi="Arial" w:cs="Arial"/>
      </w:rPr>
      <w:t>Docket No.</w:t>
    </w:r>
    <w:r w:rsidR="00D259BF">
      <w:rPr>
        <w:rFonts w:ascii="Arial" w:hAnsi="Arial" w:cs="Arial"/>
      </w:rPr>
      <w:t xml:space="preserve"> </w:t>
    </w:r>
    <w:r w:rsidR="00620062">
      <w:rPr>
        <w:rFonts w:ascii="Arial" w:hAnsi="Arial" w:cs="Arial"/>
      </w:rPr>
      <w:t>44902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B06C" w14:textId="77777777" w:rsidR="00A86E34" w:rsidRDefault="00A86E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829EC" w14:textId="77777777" w:rsidR="00620062" w:rsidRDefault="00620062" w:rsidP="002339F2">
    <w:pPr>
      <w:pStyle w:val="Header"/>
      <w:jc w:val="right"/>
      <w:rPr>
        <w:rFonts w:ascii="Arial" w:hAnsi="Arial" w:cs="Arial"/>
      </w:rPr>
    </w:pPr>
    <w:r w:rsidRPr="00D259BF">
      <w:rPr>
        <w:rFonts w:ascii="Arial" w:hAnsi="Arial" w:cs="Arial"/>
      </w:rPr>
      <w:t>MFRH-10</w:t>
    </w:r>
  </w:p>
  <w:p w14:paraId="1A1D0C8B" w14:textId="77777777" w:rsidR="00620062" w:rsidRPr="00620062" w:rsidRDefault="00620062" w:rsidP="002339F2">
    <w:pPr>
      <w:pStyle w:val="Header"/>
      <w:jc w:val="right"/>
      <w:rPr>
        <w:rFonts w:ascii="Arial" w:hAnsi="Arial" w:cs="Arial"/>
        <w:b/>
        <w:bCs/>
        <w:color w:val="FF0000"/>
      </w:rPr>
    </w:pPr>
    <w:r w:rsidRPr="00620062">
      <w:rPr>
        <w:rFonts w:ascii="Arial" w:hAnsi="Arial" w:cs="Arial"/>
        <w:b/>
        <w:bCs/>
        <w:color w:val="FF0000"/>
      </w:rPr>
      <w:t>PUBLIC DISCLOSURE</w:t>
    </w:r>
  </w:p>
  <w:p w14:paraId="6776E0BF" w14:textId="77777777" w:rsidR="00620062" w:rsidRPr="00D259BF" w:rsidRDefault="00620062" w:rsidP="002339F2">
    <w:pPr>
      <w:rPr>
        <w:rFonts w:ascii="Arial" w:hAnsi="Arial" w:cs="Arial"/>
      </w:rPr>
    </w:pPr>
    <w:r w:rsidRPr="00D259BF">
      <w:rPr>
        <w:rFonts w:ascii="Arial" w:hAnsi="Arial" w:cs="Arial"/>
        <w:b/>
        <w:sz w:val="28"/>
        <w:szCs w:val="28"/>
      </w:rPr>
      <w:t xml:space="preserve">Natural Gas Hedging </w:t>
    </w:r>
    <w:r w:rsidRPr="00D259BF">
      <w:rPr>
        <w:rFonts w:ascii="Arial" w:hAnsi="Arial" w:cs="Arial"/>
        <w:b/>
        <w:sz w:val="28"/>
        <w:szCs w:val="28"/>
      </w:rPr>
      <w:tab/>
    </w:r>
    <w:r w:rsidRPr="00D259BF">
      <w:rPr>
        <w:rFonts w:ascii="Arial" w:hAnsi="Arial" w:cs="Arial"/>
        <w:b/>
        <w:sz w:val="28"/>
        <w:szCs w:val="28"/>
      </w:rPr>
      <w:tab/>
    </w:r>
    <w:r w:rsidRPr="00D259BF">
      <w:rPr>
        <w:rFonts w:ascii="Arial" w:hAnsi="Arial" w:cs="Arial"/>
        <w:b/>
        <w:sz w:val="28"/>
        <w:szCs w:val="28"/>
      </w:rPr>
      <w:tab/>
    </w:r>
    <w:r w:rsidRPr="00D259BF">
      <w:rPr>
        <w:rFonts w:ascii="Arial" w:hAnsi="Arial" w:cs="Arial"/>
        <w:b/>
        <w:sz w:val="28"/>
        <w:szCs w:val="28"/>
      </w:rPr>
      <w:tab/>
    </w:r>
    <w:r w:rsidRPr="00D259BF">
      <w:rPr>
        <w:rFonts w:ascii="Arial" w:hAnsi="Arial" w:cs="Arial"/>
        <w:b/>
        <w:sz w:val="28"/>
        <w:szCs w:val="28"/>
      </w:rPr>
      <w:tab/>
    </w:r>
    <w:r w:rsidRPr="00D259BF">
      <w:rPr>
        <w:rFonts w:ascii="Arial" w:hAnsi="Arial" w:cs="Arial"/>
        <w:b/>
        <w:sz w:val="28"/>
        <w:szCs w:val="28"/>
      </w:rPr>
      <w:tab/>
      <w:t xml:space="preserve">   </w:t>
    </w:r>
    <w:r w:rsidRPr="00D259BF">
      <w:rPr>
        <w:rFonts w:ascii="Arial" w:hAnsi="Arial" w:cs="Arial"/>
      </w:rPr>
      <w:t>Docket No.</w:t>
    </w:r>
    <w:r>
      <w:rPr>
        <w:rFonts w:ascii="Arial" w:hAnsi="Arial" w:cs="Arial"/>
      </w:rPr>
      <w:t xml:space="preserve"> 44902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A54EC" w14:textId="77777777" w:rsidR="00A86E34" w:rsidRDefault="00A86E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0CE"/>
    <w:rsid w:val="00006917"/>
    <w:rsid w:val="00012F76"/>
    <w:rsid w:val="00037B99"/>
    <w:rsid w:val="0004399A"/>
    <w:rsid w:val="00043EC6"/>
    <w:rsid w:val="00053C38"/>
    <w:rsid w:val="00075DB3"/>
    <w:rsid w:val="000A0859"/>
    <w:rsid w:val="000B28A2"/>
    <w:rsid w:val="000C1575"/>
    <w:rsid w:val="000E1D63"/>
    <w:rsid w:val="00111580"/>
    <w:rsid w:val="00125947"/>
    <w:rsid w:val="00145D4B"/>
    <w:rsid w:val="00165E07"/>
    <w:rsid w:val="00183921"/>
    <w:rsid w:val="00183D5D"/>
    <w:rsid w:val="001876AB"/>
    <w:rsid w:val="001A2F65"/>
    <w:rsid w:val="001A5A73"/>
    <w:rsid w:val="001B03BD"/>
    <w:rsid w:val="001B7617"/>
    <w:rsid w:val="001D0F84"/>
    <w:rsid w:val="001D4FE8"/>
    <w:rsid w:val="001F2D4F"/>
    <w:rsid w:val="0020605C"/>
    <w:rsid w:val="00211D6D"/>
    <w:rsid w:val="0021693E"/>
    <w:rsid w:val="00230413"/>
    <w:rsid w:val="002339F2"/>
    <w:rsid w:val="00252C17"/>
    <w:rsid w:val="00254603"/>
    <w:rsid w:val="00262A6C"/>
    <w:rsid w:val="002644F0"/>
    <w:rsid w:val="002835D1"/>
    <w:rsid w:val="00285A78"/>
    <w:rsid w:val="002869A3"/>
    <w:rsid w:val="00286D33"/>
    <w:rsid w:val="00295EDE"/>
    <w:rsid w:val="002C19AD"/>
    <w:rsid w:val="002C6C2D"/>
    <w:rsid w:val="002D2D35"/>
    <w:rsid w:val="002F11E7"/>
    <w:rsid w:val="003144C1"/>
    <w:rsid w:val="00325454"/>
    <w:rsid w:val="00376E8C"/>
    <w:rsid w:val="003916B0"/>
    <w:rsid w:val="003970CE"/>
    <w:rsid w:val="003A7057"/>
    <w:rsid w:val="003B4062"/>
    <w:rsid w:val="003B6D8D"/>
    <w:rsid w:val="003D02D1"/>
    <w:rsid w:val="003D2094"/>
    <w:rsid w:val="003D2E47"/>
    <w:rsid w:val="003D6375"/>
    <w:rsid w:val="003E1114"/>
    <w:rsid w:val="00415EC3"/>
    <w:rsid w:val="004179B6"/>
    <w:rsid w:val="00440B02"/>
    <w:rsid w:val="00452C26"/>
    <w:rsid w:val="00471DDA"/>
    <w:rsid w:val="004C5312"/>
    <w:rsid w:val="004E7BB2"/>
    <w:rsid w:val="004F01D9"/>
    <w:rsid w:val="004F3967"/>
    <w:rsid w:val="00504163"/>
    <w:rsid w:val="005052DA"/>
    <w:rsid w:val="00513F1B"/>
    <w:rsid w:val="00515C20"/>
    <w:rsid w:val="00523281"/>
    <w:rsid w:val="00523D02"/>
    <w:rsid w:val="00583DC9"/>
    <w:rsid w:val="005A1772"/>
    <w:rsid w:val="005A7B52"/>
    <w:rsid w:val="005C0B0A"/>
    <w:rsid w:val="005C108B"/>
    <w:rsid w:val="005C7BB2"/>
    <w:rsid w:val="005D0560"/>
    <w:rsid w:val="005E092D"/>
    <w:rsid w:val="005E171F"/>
    <w:rsid w:val="005E33BF"/>
    <w:rsid w:val="006069D9"/>
    <w:rsid w:val="00612D68"/>
    <w:rsid w:val="00620062"/>
    <w:rsid w:val="0062563B"/>
    <w:rsid w:val="00625C2E"/>
    <w:rsid w:val="006453B0"/>
    <w:rsid w:val="00652D20"/>
    <w:rsid w:val="0065780B"/>
    <w:rsid w:val="00663138"/>
    <w:rsid w:val="00666745"/>
    <w:rsid w:val="006829A7"/>
    <w:rsid w:val="006950F5"/>
    <w:rsid w:val="006A1039"/>
    <w:rsid w:val="006B2195"/>
    <w:rsid w:val="006C40F5"/>
    <w:rsid w:val="006C5A33"/>
    <w:rsid w:val="006D5E99"/>
    <w:rsid w:val="006E22B9"/>
    <w:rsid w:val="006E3E97"/>
    <w:rsid w:val="006F323C"/>
    <w:rsid w:val="006F346B"/>
    <w:rsid w:val="00710439"/>
    <w:rsid w:val="00711103"/>
    <w:rsid w:val="00711177"/>
    <w:rsid w:val="00735D38"/>
    <w:rsid w:val="007436B3"/>
    <w:rsid w:val="007670D1"/>
    <w:rsid w:val="00781128"/>
    <w:rsid w:val="00796F80"/>
    <w:rsid w:val="007D39FE"/>
    <w:rsid w:val="007E48B3"/>
    <w:rsid w:val="007E5764"/>
    <w:rsid w:val="007F020C"/>
    <w:rsid w:val="007F10CC"/>
    <w:rsid w:val="007F203F"/>
    <w:rsid w:val="00811C15"/>
    <w:rsid w:val="008226C8"/>
    <w:rsid w:val="008229BD"/>
    <w:rsid w:val="008237E8"/>
    <w:rsid w:val="0082405B"/>
    <w:rsid w:val="008363A9"/>
    <w:rsid w:val="008429E4"/>
    <w:rsid w:val="00842AB8"/>
    <w:rsid w:val="00861160"/>
    <w:rsid w:val="00864C95"/>
    <w:rsid w:val="0087278E"/>
    <w:rsid w:val="0089422C"/>
    <w:rsid w:val="008A3D06"/>
    <w:rsid w:val="008A761B"/>
    <w:rsid w:val="008B4801"/>
    <w:rsid w:val="008C2A16"/>
    <w:rsid w:val="008C3EF3"/>
    <w:rsid w:val="008C75F0"/>
    <w:rsid w:val="008D3B46"/>
    <w:rsid w:val="008E69FE"/>
    <w:rsid w:val="008F49C2"/>
    <w:rsid w:val="008F5164"/>
    <w:rsid w:val="00900F3D"/>
    <w:rsid w:val="00905B16"/>
    <w:rsid w:val="00920426"/>
    <w:rsid w:val="009336B2"/>
    <w:rsid w:val="00966F31"/>
    <w:rsid w:val="009A1414"/>
    <w:rsid w:val="009C1B1A"/>
    <w:rsid w:val="009C1D98"/>
    <w:rsid w:val="009E0B7E"/>
    <w:rsid w:val="009E3EB5"/>
    <w:rsid w:val="009E40EA"/>
    <w:rsid w:val="009E5743"/>
    <w:rsid w:val="00A2153F"/>
    <w:rsid w:val="00A24456"/>
    <w:rsid w:val="00A24A99"/>
    <w:rsid w:val="00A45E84"/>
    <w:rsid w:val="00A5679E"/>
    <w:rsid w:val="00A62555"/>
    <w:rsid w:val="00A8609C"/>
    <w:rsid w:val="00A86E34"/>
    <w:rsid w:val="00A9496B"/>
    <w:rsid w:val="00AB385C"/>
    <w:rsid w:val="00AB5F47"/>
    <w:rsid w:val="00AC237E"/>
    <w:rsid w:val="00AE33FB"/>
    <w:rsid w:val="00AE693F"/>
    <w:rsid w:val="00AF2A0C"/>
    <w:rsid w:val="00B011DE"/>
    <w:rsid w:val="00B07846"/>
    <w:rsid w:val="00B10433"/>
    <w:rsid w:val="00B1137C"/>
    <w:rsid w:val="00B16200"/>
    <w:rsid w:val="00B244EB"/>
    <w:rsid w:val="00B25F07"/>
    <w:rsid w:val="00B303F8"/>
    <w:rsid w:val="00B63CB0"/>
    <w:rsid w:val="00B71F68"/>
    <w:rsid w:val="00BB0D2B"/>
    <w:rsid w:val="00BB1AE5"/>
    <w:rsid w:val="00BD351A"/>
    <w:rsid w:val="00C01EC0"/>
    <w:rsid w:val="00C0526B"/>
    <w:rsid w:val="00C14337"/>
    <w:rsid w:val="00C212AD"/>
    <w:rsid w:val="00C306AB"/>
    <w:rsid w:val="00C3578A"/>
    <w:rsid w:val="00C500B8"/>
    <w:rsid w:val="00C55463"/>
    <w:rsid w:val="00C90F7F"/>
    <w:rsid w:val="00CB38A5"/>
    <w:rsid w:val="00CC7183"/>
    <w:rsid w:val="00CD1796"/>
    <w:rsid w:val="00CD21FD"/>
    <w:rsid w:val="00CD2344"/>
    <w:rsid w:val="00CD6B4F"/>
    <w:rsid w:val="00CE7A3D"/>
    <w:rsid w:val="00CF1E4A"/>
    <w:rsid w:val="00CF3FC5"/>
    <w:rsid w:val="00CF627E"/>
    <w:rsid w:val="00D17BEF"/>
    <w:rsid w:val="00D259BF"/>
    <w:rsid w:val="00D50306"/>
    <w:rsid w:val="00D53991"/>
    <w:rsid w:val="00D55DBE"/>
    <w:rsid w:val="00D63772"/>
    <w:rsid w:val="00D74987"/>
    <w:rsid w:val="00D96016"/>
    <w:rsid w:val="00DA0C0F"/>
    <w:rsid w:val="00DA4A18"/>
    <w:rsid w:val="00DD05E5"/>
    <w:rsid w:val="00DE7895"/>
    <w:rsid w:val="00DF16CB"/>
    <w:rsid w:val="00E02B43"/>
    <w:rsid w:val="00E05D57"/>
    <w:rsid w:val="00E0606E"/>
    <w:rsid w:val="00E14C23"/>
    <w:rsid w:val="00E34E6D"/>
    <w:rsid w:val="00E47E8F"/>
    <w:rsid w:val="00E5076B"/>
    <w:rsid w:val="00E66CF4"/>
    <w:rsid w:val="00E8564C"/>
    <w:rsid w:val="00E86022"/>
    <w:rsid w:val="00E932CA"/>
    <w:rsid w:val="00E94C36"/>
    <w:rsid w:val="00E95004"/>
    <w:rsid w:val="00EB3BC2"/>
    <w:rsid w:val="00EB495C"/>
    <w:rsid w:val="00EB78E3"/>
    <w:rsid w:val="00EC0B2F"/>
    <w:rsid w:val="00EC4F62"/>
    <w:rsid w:val="00EC6673"/>
    <w:rsid w:val="00ED5D50"/>
    <w:rsid w:val="00F00BD5"/>
    <w:rsid w:val="00F077E3"/>
    <w:rsid w:val="00F10305"/>
    <w:rsid w:val="00F16AF4"/>
    <w:rsid w:val="00F42E8C"/>
    <w:rsid w:val="00F6264A"/>
    <w:rsid w:val="00F65FF6"/>
    <w:rsid w:val="00F67504"/>
    <w:rsid w:val="00F7095B"/>
    <w:rsid w:val="00FB1AFE"/>
    <w:rsid w:val="00FB49B0"/>
    <w:rsid w:val="00FC314C"/>
    <w:rsid w:val="00FC4373"/>
    <w:rsid w:val="00FC7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E3F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70C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970CE"/>
    <w:pPr>
      <w:widowControl w:val="0"/>
      <w:tabs>
        <w:tab w:val="center" w:pos="4320"/>
        <w:tab w:val="right" w:pos="8640"/>
      </w:tabs>
      <w:snapToGrid w:val="0"/>
    </w:pPr>
    <w:rPr>
      <w:rFonts w:ascii="Courier New" w:hAnsi="Courier New"/>
      <w:sz w:val="20"/>
    </w:rPr>
  </w:style>
  <w:style w:type="paragraph" w:styleId="Header">
    <w:name w:val="header"/>
    <w:basedOn w:val="Normal"/>
    <w:rsid w:val="003970CE"/>
    <w:pPr>
      <w:tabs>
        <w:tab w:val="center" w:pos="4320"/>
        <w:tab w:val="right" w:pos="8640"/>
      </w:tabs>
    </w:pPr>
  </w:style>
  <w:style w:type="character" w:styleId="PageNumber">
    <w:name w:val="page number"/>
    <w:basedOn w:val="DefaultParagraphFont"/>
    <w:rsid w:val="003970CE"/>
  </w:style>
  <w:style w:type="table" w:styleId="TableGrid">
    <w:name w:val="Table Grid"/>
    <w:basedOn w:val="TableNormal"/>
    <w:rsid w:val="003970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E17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05697">
      <w:bodyDiv w:val="1"/>
      <w:marLeft w:val="0"/>
      <w:marRight w:val="0"/>
      <w:marTop w:val="0"/>
      <w:marBottom w:val="0"/>
      <w:divBdr>
        <w:top w:val="none" w:sz="0" w:space="0" w:color="auto"/>
        <w:left w:val="none" w:sz="0" w:space="0" w:color="auto"/>
        <w:bottom w:val="none" w:sz="0" w:space="0" w:color="auto"/>
        <w:right w:val="none" w:sz="0" w:space="0" w:color="auto"/>
      </w:divBdr>
    </w:div>
    <w:div w:id="56368835">
      <w:bodyDiv w:val="1"/>
      <w:marLeft w:val="0"/>
      <w:marRight w:val="0"/>
      <w:marTop w:val="0"/>
      <w:marBottom w:val="0"/>
      <w:divBdr>
        <w:top w:val="none" w:sz="0" w:space="0" w:color="auto"/>
        <w:left w:val="none" w:sz="0" w:space="0" w:color="auto"/>
        <w:bottom w:val="none" w:sz="0" w:space="0" w:color="auto"/>
        <w:right w:val="none" w:sz="0" w:space="0" w:color="auto"/>
      </w:divBdr>
    </w:div>
    <w:div w:id="76874511">
      <w:bodyDiv w:val="1"/>
      <w:marLeft w:val="0"/>
      <w:marRight w:val="0"/>
      <w:marTop w:val="0"/>
      <w:marBottom w:val="0"/>
      <w:divBdr>
        <w:top w:val="none" w:sz="0" w:space="0" w:color="auto"/>
        <w:left w:val="none" w:sz="0" w:space="0" w:color="auto"/>
        <w:bottom w:val="none" w:sz="0" w:space="0" w:color="auto"/>
        <w:right w:val="none" w:sz="0" w:space="0" w:color="auto"/>
      </w:divBdr>
    </w:div>
    <w:div w:id="87847002">
      <w:bodyDiv w:val="1"/>
      <w:marLeft w:val="0"/>
      <w:marRight w:val="0"/>
      <w:marTop w:val="0"/>
      <w:marBottom w:val="0"/>
      <w:divBdr>
        <w:top w:val="none" w:sz="0" w:space="0" w:color="auto"/>
        <w:left w:val="none" w:sz="0" w:space="0" w:color="auto"/>
        <w:bottom w:val="none" w:sz="0" w:space="0" w:color="auto"/>
        <w:right w:val="none" w:sz="0" w:space="0" w:color="auto"/>
      </w:divBdr>
    </w:div>
    <w:div w:id="115343626">
      <w:bodyDiv w:val="1"/>
      <w:marLeft w:val="0"/>
      <w:marRight w:val="0"/>
      <w:marTop w:val="0"/>
      <w:marBottom w:val="0"/>
      <w:divBdr>
        <w:top w:val="none" w:sz="0" w:space="0" w:color="auto"/>
        <w:left w:val="none" w:sz="0" w:space="0" w:color="auto"/>
        <w:bottom w:val="none" w:sz="0" w:space="0" w:color="auto"/>
        <w:right w:val="none" w:sz="0" w:space="0" w:color="auto"/>
      </w:divBdr>
    </w:div>
    <w:div w:id="118375642">
      <w:bodyDiv w:val="1"/>
      <w:marLeft w:val="0"/>
      <w:marRight w:val="0"/>
      <w:marTop w:val="0"/>
      <w:marBottom w:val="0"/>
      <w:divBdr>
        <w:top w:val="none" w:sz="0" w:space="0" w:color="auto"/>
        <w:left w:val="none" w:sz="0" w:space="0" w:color="auto"/>
        <w:bottom w:val="none" w:sz="0" w:space="0" w:color="auto"/>
        <w:right w:val="none" w:sz="0" w:space="0" w:color="auto"/>
      </w:divBdr>
    </w:div>
    <w:div w:id="135876204">
      <w:bodyDiv w:val="1"/>
      <w:marLeft w:val="0"/>
      <w:marRight w:val="0"/>
      <w:marTop w:val="0"/>
      <w:marBottom w:val="0"/>
      <w:divBdr>
        <w:top w:val="none" w:sz="0" w:space="0" w:color="auto"/>
        <w:left w:val="none" w:sz="0" w:space="0" w:color="auto"/>
        <w:bottom w:val="none" w:sz="0" w:space="0" w:color="auto"/>
        <w:right w:val="none" w:sz="0" w:space="0" w:color="auto"/>
      </w:divBdr>
    </w:div>
    <w:div w:id="150602943">
      <w:bodyDiv w:val="1"/>
      <w:marLeft w:val="0"/>
      <w:marRight w:val="0"/>
      <w:marTop w:val="0"/>
      <w:marBottom w:val="0"/>
      <w:divBdr>
        <w:top w:val="none" w:sz="0" w:space="0" w:color="auto"/>
        <w:left w:val="none" w:sz="0" w:space="0" w:color="auto"/>
        <w:bottom w:val="none" w:sz="0" w:space="0" w:color="auto"/>
        <w:right w:val="none" w:sz="0" w:space="0" w:color="auto"/>
      </w:divBdr>
    </w:div>
    <w:div w:id="181869552">
      <w:bodyDiv w:val="1"/>
      <w:marLeft w:val="0"/>
      <w:marRight w:val="0"/>
      <w:marTop w:val="0"/>
      <w:marBottom w:val="0"/>
      <w:divBdr>
        <w:top w:val="none" w:sz="0" w:space="0" w:color="auto"/>
        <w:left w:val="none" w:sz="0" w:space="0" w:color="auto"/>
        <w:bottom w:val="none" w:sz="0" w:space="0" w:color="auto"/>
        <w:right w:val="none" w:sz="0" w:space="0" w:color="auto"/>
      </w:divBdr>
    </w:div>
    <w:div w:id="232936323">
      <w:bodyDiv w:val="1"/>
      <w:marLeft w:val="0"/>
      <w:marRight w:val="0"/>
      <w:marTop w:val="0"/>
      <w:marBottom w:val="0"/>
      <w:divBdr>
        <w:top w:val="none" w:sz="0" w:space="0" w:color="auto"/>
        <w:left w:val="none" w:sz="0" w:space="0" w:color="auto"/>
        <w:bottom w:val="none" w:sz="0" w:space="0" w:color="auto"/>
        <w:right w:val="none" w:sz="0" w:space="0" w:color="auto"/>
      </w:divBdr>
    </w:div>
    <w:div w:id="258102297">
      <w:bodyDiv w:val="1"/>
      <w:marLeft w:val="0"/>
      <w:marRight w:val="0"/>
      <w:marTop w:val="0"/>
      <w:marBottom w:val="0"/>
      <w:divBdr>
        <w:top w:val="none" w:sz="0" w:space="0" w:color="auto"/>
        <w:left w:val="none" w:sz="0" w:space="0" w:color="auto"/>
        <w:bottom w:val="none" w:sz="0" w:space="0" w:color="auto"/>
        <w:right w:val="none" w:sz="0" w:space="0" w:color="auto"/>
      </w:divBdr>
    </w:div>
    <w:div w:id="266544214">
      <w:bodyDiv w:val="1"/>
      <w:marLeft w:val="0"/>
      <w:marRight w:val="0"/>
      <w:marTop w:val="0"/>
      <w:marBottom w:val="0"/>
      <w:divBdr>
        <w:top w:val="none" w:sz="0" w:space="0" w:color="auto"/>
        <w:left w:val="none" w:sz="0" w:space="0" w:color="auto"/>
        <w:bottom w:val="none" w:sz="0" w:space="0" w:color="auto"/>
        <w:right w:val="none" w:sz="0" w:space="0" w:color="auto"/>
      </w:divBdr>
    </w:div>
    <w:div w:id="353654680">
      <w:bodyDiv w:val="1"/>
      <w:marLeft w:val="0"/>
      <w:marRight w:val="0"/>
      <w:marTop w:val="0"/>
      <w:marBottom w:val="0"/>
      <w:divBdr>
        <w:top w:val="none" w:sz="0" w:space="0" w:color="auto"/>
        <w:left w:val="none" w:sz="0" w:space="0" w:color="auto"/>
        <w:bottom w:val="none" w:sz="0" w:space="0" w:color="auto"/>
        <w:right w:val="none" w:sz="0" w:space="0" w:color="auto"/>
      </w:divBdr>
    </w:div>
    <w:div w:id="364255772">
      <w:bodyDiv w:val="1"/>
      <w:marLeft w:val="0"/>
      <w:marRight w:val="0"/>
      <w:marTop w:val="0"/>
      <w:marBottom w:val="0"/>
      <w:divBdr>
        <w:top w:val="none" w:sz="0" w:space="0" w:color="auto"/>
        <w:left w:val="none" w:sz="0" w:space="0" w:color="auto"/>
        <w:bottom w:val="none" w:sz="0" w:space="0" w:color="auto"/>
        <w:right w:val="none" w:sz="0" w:space="0" w:color="auto"/>
      </w:divBdr>
    </w:div>
    <w:div w:id="407117129">
      <w:bodyDiv w:val="1"/>
      <w:marLeft w:val="0"/>
      <w:marRight w:val="0"/>
      <w:marTop w:val="0"/>
      <w:marBottom w:val="0"/>
      <w:divBdr>
        <w:top w:val="none" w:sz="0" w:space="0" w:color="auto"/>
        <w:left w:val="none" w:sz="0" w:space="0" w:color="auto"/>
        <w:bottom w:val="none" w:sz="0" w:space="0" w:color="auto"/>
        <w:right w:val="none" w:sz="0" w:space="0" w:color="auto"/>
      </w:divBdr>
    </w:div>
    <w:div w:id="418794872">
      <w:bodyDiv w:val="1"/>
      <w:marLeft w:val="0"/>
      <w:marRight w:val="0"/>
      <w:marTop w:val="0"/>
      <w:marBottom w:val="0"/>
      <w:divBdr>
        <w:top w:val="none" w:sz="0" w:space="0" w:color="auto"/>
        <w:left w:val="none" w:sz="0" w:space="0" w:color="auto"/>
        <w:bottom w:val="none" w:sz="0" w:space="0" w:color="auto"/>
        <w:right w:val="none" w:sz="0" w:space="0" w:color="auto"/>
      </w:divBdr>
    </w:div>
    <w:div w:id="427775360">
      <w:bodyDiv w:val="1"/>
      <w:marLeft w:val="0"/>
      <w:marRight w:val="0"/>
      <w:marTop w:val="0"/>
      <w:marBottom w:val="0"/>
      <w:divBdr>
        <w:top w:val="none" w:sz="0" w:space="0" w:color="auto"/>
        <w:left w:val="none" w:sz="0" w:space="0" w:color="auto"/>
        <w:bottom w:val="none" w:sz="0" w:space="0" w:color="auto"/>
        <w:right w:val="none" w:sz="0" w:space="0" w:color="auto"/>
      </w:divBdr>
    </w:div>
    <w:div w:id="438991247">
      <w:bodyDiv w:val="1"/>
      <w:marLeft w:val="0"/>
      <w:marRight w:val="0"/>
      <w:marTop w:val="0"/>
      <w:marBottom w:val="0"/>
      <w:divBdr>
        <w:top w:val="none" w:sz="0" w:space="0" w:color="auto"/>
        <w:left w:val="none" w:sz="0" w:space="0" w:color="auto"/>
        <w:bottom w:val="none" w:sz="0" w:space="0" w:color="auto"/>
        <w:right w:val="none" w:sz="0" w:space="0" w:color="auto"/>
      </w:divBdr>
    </w:div>
    <w:div w:id="454177507">
      <w:bodyDiv w:val="1"/>
      <w:marLeft w:val="0"/>
      <w:marRight w:val="0"/>
      <w:marTop w:val="0"/>
      <w:marBottom w:val="0"/>
      <w:divBdr>
        <w:top w:val="none" w:sz="0" w:space="0" w:color="auto"/>
        <w:left w:val="none" w:sz="0" w:space="0" w:color="auto"/>
        <w:bottom w:val="none" w:sz="0" w:space="0" w:color="auto"/>
        <w:right w:val="none" w:sz="0" w:space="0" w:color="auto"/>
      </w:divBdr>
    </w:div>
    <w:div w:id="500319177">
      <w:bodyDiv w:val="1"/>
      <w:marLeft w:val="0"/>
      <w:marRight w:val="0"/>
      <w:marTop w:val="0"/>
      <w:marBottom w:val="0"/>
      <w:divBdr>
        <w:top w:val="none" w:sz="0" w:space="0" w:color="auto"/>
        <w:left w:val="none" w:sz="0" w:space="0" w:color="auto"/>
        <w:bottom w:val="none" w:sz="0" w:space="0" w:color="auto"/>
        <w:right w:val="none" w:sz="0" w:space="0" w:color="auto"/>
      </w:divBdr>
    </w:div>
    <w:div w:id="506822514">
      <w:bodyDiv w:val="1"/>
      <w:marLeft w:val="0"/>
      <w:marRight w:val="0"/>
      <w:marTop w:val="0"/>
      <w:marBottom w:val="0"/>
      <w:divBdr>
        <w:top w:val="none" w:sz="0" w:space="0" w:color="auto"/>
        <w:left w:val="none" w:sz="0" w:space="0" w:color="auto"/>
        <w:bottom w:val="none" w:sz="0" w:space="0" w:color="auto"/>
        <w:right w:val="none" w:sz="0" w:space="0" w:color="auto"/>
      </w:divBdr>
    </w:div>
    <w:div w:id="556479257">
      <w:bodyDiv w:val="1"/>
      <w:marLeft w:val="0"/>
      <w:marRight w:val="0"/>
      <w:marTop w:val="0"/>
      <w:marBottom w:val="0"/>
      <w:divBdr>
        <w:top w:val="none" w:sz="0" w:space="0" w:color="auto"/>
        <w:left w:val="none" w:sz="0" w:space="0" w:color="auto"/>
        <w:bottom w:val="none" w:sz="0" w:space="0" w:color="auto"/>
        <w:right w:val="none" w:sz="0" w:space="0" w:color="auto"/>
      </w:divBdr>
    </w:div>
    <w:div w:id="573974546">
      <w:bodyDiv w:val="1"/>
      <w:marLeft w:val="0"/>
      <w:marRight w:val="0"/>
      <w:marTop w:val="0"/>
      <w:marBottom w:val="0"/>
      <w:divBdr>
        <w:top w:val="none" w:sz="0" w:space="0" w:color="auto"/>
        <w:left w:val="none" w:sz="0" w:space="0" w:color="auto"/>
        <w:bottom w:val="none" w:sz="0" w:space="0" w:color="auto"/>
        <w:right w:val="none" w:sz="0" w:space="0" w:color="auto"/>
      </w:divBdr>
    </w:div>
    <w:div w:id="647441524">
      <w:bodyDiv w:val="1"/>
      <w:marLeft w:val="0"/>
      <w:marRight w:val="0"/>
      <w:marTop w:val="0"/>
      <w:marBottom w:val="0"/>
      <w:divBdr>
        <w:top w:val="none" w:sz="0" w:space="0" w:color="auto"/>
        <w:left w:val="none" w:sz="0" w:space="0" w:color="auto"/>
        <w:bottom w:val="none" w:sz="0" w:space="0" w:color="auto"/>
        <w:right w:val="none" w:sz="0" w:space="0" w:color="auto"/>
      </w:divBdr>
    </w:div>
    <w:div w:id="662703765">
      <w:bodyDiv w:val="1"/>
      <w:marLeft w:val="0"/>
      <w:marRight w:val="0"/>
      <w:marTop w:val="0"/>
      <w:marBottom w:val="0"/>
      <w:divBdr>
        <w:top w:val="none" w:sz="0" w:space="0" w:color="auto"/>
        <w:left w:val="none" w:sz="0" w:space="0" w:color="auto"/>
        <w:bottom w:val="none" w:sz="0" w:space="0" w:color="auto"/>
        <w:right w:val="none" w:sz="0" w:space="0" w:color="auto"/>
      </w:divBdr>
    </w:div>
    <w:div w:id="739057474">
      <w:bodyDiv w:val="1"/>
      <w:marLeft w:val="0"/>
      <w:marRight w:val="0"/>
      <w:marTop w:val="0"/>
      <w:marBottom w:val="0"/>
      <w:divBdr>
        <w:top w:val="none" w:sz="0" w:space="0" w:color="auto"/>
        <w:left w:val="none" w:sz="0" w:space="0" w:color="auto"/>
        <w:bottom w:val="none" w:sz="0" w:space="0" w:color="auto"/>
        <w:right w:val="none" w:sz="0" w:space="0" w:color="auto"/>
      </w:divBdr>
    </w:div>
    <w:div w:id="879047177">
      <w:bodyDiv w:val="1"/>
      <w:marLeft w:val="0"/>
      <w:marRight w:val="0"/>
      <w:marTop w:val="0"/>
      <w:marBottom w:val="0"/>
      <w:divBdr>
        <w:top w:val="none" w:sz="0" w:space="0" w:color="auto"/>
        <w:left w:val="none" w:sz="0" w:space="0" w:color="auto"/>
        <w:bottom w:val="none" w:sz="0" w:space="0" w:color="auto"/>
        <w:right w:val="none" w:sz="0" w:space="0" w:color="auto"/>
      </w:divBdr>
    </w:div>
    <w:div w:id="888734936">
      <w:bodyDiv w:val="1"/>
      <w:marLeft w:val="0"/>
      <w:marRight w:val="0"/>
      <w:marTop w:val="0"/>
      <w:marBottom w:val="0"/>
      <w:divBdr>
        <w:top w:val="none" w:sz="0" w:space="0" w:color="auto"/>
        <w:left w:val="none" w:sz="0" w:space="0" w:color="auto"/>
        <w:bottom w:val="none" w:sz="0" w:space="0" w:color="auto"/>
        <w:right w:val="none" w:sz="0" w:space="0" w:color="auto"/>
      </w:divBdr>
    </w:div>
    <w:div w:id="945423037">
      <w:bodyDiv w:val="1"/>
      <w:marLeft w:val="0"/>
      <w:marRight w:val="0"/>
      <w:marTop w:val="0"/>
      <w:marBottom w:val="0"/>
      <w:divBdr>
        <w:top w:val="none" w:sz="0" w:space="0" w:color="auto"/>
        <w:left w:val="none" w:sz="0" w:space="0" w:color="auto"/>
        <w:bottom w:val="none" w:sz="0" w:space="0" w:color="auto"/>
        <w:right w:val="none" w:sz="0" w:space="0" w:color="auto"/>
      </w:divBdr>
    </w:div>
    <w:div w:id="959341398">
      <w:bodyDiv w:val="1"/>
      <w:marLeft w:val="0"/>
      <w:marRight w:val="0"/>
      <w:marTop w:val="0"/>
      <w:marBottom w:val="0"/>
      <w:divBdr>
        <w:top w:val="none" w:sz="0" w:space="0" w:color="auto"/>
        <w:left w:val="none" w:sz="0" w:space="0" w:color="auto"/>
        <w:bottom w:val="none" w:sz="0" w:space="0" w:color="auto"/>
        <w:right w:val="none" w:sz="0" w:space="0" w:color="auto"/>
      </w:divBdr>
    </w:div>
    <w:div w:id="1012032130">
      <w:bodyDiv w:val="1"/>
      <w:marLeft w:val="0"/>
      <w:marRight w:val="0"/>
      <w:marTop w:val="0"/>
      <w:marBottom w:val="0"/>
      <w:divBdr>
        <w:top w:val="none" w:sz="0" w:space="0" w:color="auto"/>
        <w:left w:val="none" w:sz="0" w:space="0" w:color="auto"/>
        <w:bottom w:val="none" w:sz="0" w:space="0" w:color="auto"/>
        <w:right w:val="none" w:sz="0" w:space="0" w:color="auto"/>
      </w:divBdr>
    </w:div>
    <w:div w:id="1037198409">
      <w:bodyDiv w:val="1"/>
      <w:marLeft w:val="0"/>
      <w:marRight w:val="0"/>
      <w:marTop w:val="0"/>
      <w:marBottom w:val="0"/>
      <w:divBdr>
        <w:top w:val="none" w:sz="0" w:space="0" w:color="auto"/>
        <w:left w:val="none" w:sz="0" w:space="0" w:color="auto"/>
        <w:bottom w:val="none" w:sz="0" w:space="0" w:color="auto"/>
        <w:right w:val="none" w:sz="0" w:space="0" w:color="auto"/>
      </w:divBdr>
    </w:div>
    <w:div w:id="1086877184">
      <w:bodyDiv w:val="1"/>
      <w:marLeft w:val="0"/>
      <w:marRight w:val="0"/>
      <w:marTop w:val="0"/>
      <w:marBottom w:val="0"/>
      <w:divBdr>
        <w:top w:val="none" w:sz="0" w:space="0" w:color="auto"/>
        <w:left w:val="none" w:sz="0" w:space="0" w:color="auto"/>
        <w:bottom w:val="none" w:sz="0" w:space="0" w:color="auto"/>
        <w:right w:val="none" w:sz="0" w:space="0" w:color="auto"/>
      </w:divBdr>
    </w:div>
    <w:div w:id="1150319768">
      <w:bodyDiv w:val="1"/>
      <w:marLeft w:val="0"/>
      <w:marRight w:val="0"/>
      <w:marTop w:val="0"/>
      <w:marBottom w:val="0"/>
      <w:divBdr>
        <w:top w:val="none" w:sz="0" w:space="0" w:color="auto"/>
        <w:left w:val="none" w:sz="0" w:space="0" w:color="auto"/>
        <w:bottom w:val="none" w:sz="0" w:space="0" w:color="auto"/>
        <w:right w:val="none" w:sz="0" w:space="0" w:color="auto"/>
      </w:divBdr>
    </w:div>
    <w:div w:id="1180044112">
      <w:bodyDiv w:val="1"/>
      <w:marLeft w:val="0"/>
      <w:marRight w:val="0"/>
      <w:marTop w:val="0"/>
      <w:marBottom w:val="0"/>
      <w:divBdr>
        <w:top w:val="none" w:sz="0" w:space="0" w:color="auto"/>
        <w:left w:val="none" w:sz="0" w:space="0" w:color="auto"/>
        <w:bottom w:val="none" w:sz="0" w:space="0" w:color="auto"/>
        <w:right w:val="none" w:sz="0" w:space="0" w:color="auto"/>
      </w:divBdr>
    </w:div>
    <w:div w:id="1218392640">
      <w:bodyDiv w:val="1"/>
      <w:marLeft w:val="0"/>
      <w:marRight w:val="0"/>
      <w:marTop w:val="0"/>
      <w:marBottom w:val="0"/>
      <w:divBdr>
        <w:top w:val="none" w:sz="0" w:space="0" w:color="auto"/>
        <w:left w:val="none" w:sz="0" w:space="0" w:color="auto"/>
        <w:bottom w:val="none" w:sz="0" w:space="0" w:color="auto"/>
        <w:right w:val="none" w:sz="0" w:space="0" w:color="auto"/>
      </w:divBdr>
    </w:div>
    <w:div w:id="1225605404">
      <w:bodyDiv w:val="1"/>
      <w:marLeft w:val="0"/>
      <w:marRight w:val="0"/>
      <w:marTop w:val="0"/>
      <w:marBottom w:val="0"/>
      <w:divBdr>
        <w:top w:val="none" w:sz="0" w:space="0" w:color="auto"/>
        <w:left w:val="none" w:sz="0" w:space="0" w:color="auto"/>
        <w:bottom w:val="none" w:sz="0" w:space="0" w:color="auto"/>
        <w:right w:val="none" w:sz="0" w:space="0" w:color="auto"/>
      </w:divBdr>
    </w:div>
    <w:div w:id="1232539916">
      <w:bodyDiv w:val="1"/>
      <w:marLeft w:val="0"/>
      <w:marRight w:val="0"/>
      <w:marTop w:val="0"/>
      <w:marBottom w:val="0"/>
      <w:divBdr>
        <w:top w:val="none" w:sz="0" w:space="0" w:color="auto"/>
        <w:left w:val="none" w:sz="0" w:space="0" w:color="auto"/>
        <w:bottom w:val="none" w:sz="0" w:space="0" w:color="auto"/>
        <w:right w:val="none" w:sz="0" w:space="0" w:color="auto"/>
      </w:divBdr>
    </w:div>
    <w:div w:id="1235048311">
      <w:bodyDiv w:val="1"/>
      <w:marLeft w:val="0"/>
      <w:marRight w:val="0"/>
      <w:marTop w:val="0"/>
      <w:marBottom w:val="0"/>
      <w:divBdr>
        <w:top w:val="none" w:sz="0" w:space="0" w:color="auto"/>
        <w:left w:val="none" w:sz="0" w:space="0" w:color="auto"/>
        <w:bottom w:val="none" w:sz="0" w:space="0" w:color="auto"/>
        <w:right w:val="none" w:sz="0" w:space="0" w:color="auto"/>
      </w:divBdr>
    </w:div>
    <w:div w:id="1240749352">
      <w:bodyDiv w:val="1"/>
      <w:marLeft w:val="0"/>
      <w:marRight w:val="0"/>
      <w:marTop w:val="0"/>
      <w:marBottom w:val="0"/>
      <w:divBdr>
        <w:top w:val="none" w:sz="0" w:space="0" w:color="auto"/>
        <w:left w:val="none" w:sz="0" w:space="0" w:color="auto"/>
        <w:bottom w:val="none" w:sz="0" w:space="0" w:color="auto"/>
        <w:right w:val="none" w:sz="0" w:space="0" w:color="auto"/>
      </w:divBdr>
    </w:div>
    <w:div w:id="1244797878">
      <w:bodyDiv w:val="1"/>
      <w:marLeft w:val="0"/>
      <w:marRight w:val="0"/>
      <w:marTop w:val="0"/>
      <w:marBottom w:val="0"/>
      <w:divBdr>
        <w:top w:val="none" w:sz="0" w:space="0" w:color="auto"/>
        <w:left w:val="none" w:sz="0" w:space="0" w:color="auto"/>
        <w:bottom w:val="none" w:sz="0" w:space="0" w:color="auto"/>
        <w:right w:val="none" w:sz="0" w:space="0" w:color="auto"/>
      </w:divBdr>
    </w:div>
    <w:div w:id="1268271729">
      <w:bodyDiv w:val="1"/>
      <w:marLeft w:val="0"/>
      <w:marRight w:val="0"/>
      <w:marTop w:val="0"/>
      <w:marBottom w:val="0"/>
      <w:divBdr>
        <w:top w:val="none" w:sz="0" w:space="0" w:color="auto"/>
        <w:left w:val="none" w:sz="0" w:space="0" w:color="auto"/>
        <w:bottom w:val="none" w:sz="0" w:space="0" w:color="auto"/>
        <w:right w:val="none" w:sz="0" w:space="0" w:color="auto"/>
      </w:divBdr>
    </w:div>
    <w:div w:id="1294795102">
      <w:bodyDiv w:val="1"/>
      <w:marLeft w:val="0"/>
      <w:marRight w:val="0"/>
      <w:marTop w:val="0"/>
      <w:marBottom w:val="0"/>
      <w:divBdr>
        <w:top w:val="none" w:sz="0" w:space="0" w:color="auto"/>
        <w:left w:val="none" w:sz="0" w:space="0" w:color="auto"/>
        <w:bottom w:val="none" w:sz="0" w:space="0" w:color="auto"/>
        <w:right w:val="none" w:sz="0" w:space="0" w:color="auto"/>
      </w:divBdr>
    </w:div>
    <w:div w:id="1336376149">
      <w:bodyDiv w:val="1"/>
      <w:marLeft w:val="0"/>
      <w:marRight w:val="0"/>
      <w:marTop w:val="0"/>
      <w:marBottom w:val="0"/>
      <w:divBdr>
        <w:top w:val="none" w:sz="0" w:space="0" w:color="auto"/>
        <w:left w:val="none" w:sz="0" w:space="0" w:color="auto"/>
        <w:bottom w:val="none" w:sz="0" w:space="0" w:color="auto"/>
        <w:right w:val="none" w:sz="0" w:space="0" w:color="auto"/>
      </w:divBdr>
    </w:div>
    <w:div w:id="1439568273">
      <w:bodyDiv w:val="1"/>
      <w:marLeft w:val="0"/>
      <w:marRight w:val="0"/>
      <w:marTop w:val="0"/>
      <w:marBottom w:val="0"/>
      <w:divBdr>
        <w:top w:val="none" w:sz="0" w:space="0" w:color="auto"/>
        <w:left w:val="none" w:sz="0" w:space="0" w:color="auto"/>
        <w:bottom w:val="none" w:sz="0" w:space="0" w:color="auto"/>
        <w:right w:val="none" w:sz="0" w:space="0" w:color="auto"/>
      </w:divBdr>
    </w:div>
    <w:div w:id="1553033933">
      <w:bodyDiv w:val="1"/>
      <w:marLeft w:val="0"/>
      <w:marRight w:val="0"/>
      <w:marTop w:val="0"/>
      <w:marBottom w:val="0"/>
      <w:divBdr>
        <w:top w:val="none" w:sz="0" w:space="0" w:color="auto"/>
        <w:left w:val="none" w:sz="0" w:space="0" w:color="auto"/>
        <w:bottom w:val="none" w:sz="0" w:space="0" w:color="auto"/>
        <w:right w:val="none" w:sz="0" w:space="0" w:color="auto"/>
      </w:divBdr>
    </w:div>
    <w:div w:id="1553149119">
      <w:bodyDiv w:val="1"/>
      <w:marLeft w:val="0"/>
      <w:marRight w:val="0"/>
      <w:marTop w:val="0"/>
      <w:marBottom w:val="0"/>
      <w:divBdr>
        <w:top w:val="none" w:sz="0" w:space="0" w:color="auto"/>
        <w:left w:val="none" w:sz="0" w:space="0" w:color="auto"/>
        <w:bottom w:val="none" w:sz="0" w:space="0" w:color="auto"/>
        <w:right w:val="none" w:sz="0" w:space="0" w:color="auto"/>
      </w:divBdr>
    </w:div>
    <w:div w:id="1690525792">
      <w:bodyDiv w:val="1"/>
      <w:marLeft w:val="0"/>
      <w:marRight w:val="0"/>
      <w:marTop w:val="0"/>
      <w:marBottom w:val="0"/>
      <w:divBdr>
        <w:top w:val="none" w:sz="0" w:space="0" w:color="auto"/>
        <w:left w:val="none" w:sz="0" w:space="0" w:color="auto"/>
        <w:bottom w:val="none" w:sz="0" w:space="0" w:color="auto"/>
        <w:right w:val="none" w:sz="0" w:space="0" w:color="auto"/>
      </w:divBdr>
    </w:div>
    <w:div w:id="1709179990">
      <w:bodyDiv w:val="1"/>
      <w:marLeft w:val="0"/>
      <w:marRight w:val="0"/>
      <w:marTop w:val="0"/>
      <w:marBottom w:val="0"/>
      <w:divBdr>
        <w:top w:val="none" w:sz="0" w:space="0" w:color="auto"/>
        <w:left w:val="none" w:sz="0" w:space="0" w:color="auto"/>
        <w:bottom w:val="none" w:sz="0" w:space="0" w:color="auto"/>
        <w:right w:val="none" w:sz="0" w:space="0" w:color="auto"/>
      </w:divBdr>
    </w:div>
    <w:div w:id="1715276682">
      <w:bodyDiv w:val="1"/>
      <w:marLeft w:val="0"/>
      <w:marRight w:val="0"/>
      <w:marTop w:val="0"/>
      <w:marBottom w:val="0"/>
      <w:divBdr>
        <w:top w:val="none" w:sz="0" w:space="0" w:color="auto"/>
        <w:left w:val="none" w:sz="0" w:space="0" w:color="auto"/>
        <w:bottom w:val="none" w:sz="0" w:space="0" w:color="auto"/>
        <w:right w:val="none" w:sz="0" w:space="0" w:color="auto"/>
      </w:divBdr>
    </w:div>
    <w:div w:id="1757898083">
      <w:bodyDiv w:val="1"/>
      <w:marLeft w:val="0"/>
      <w:marRight w:val="0"/>
      <w:marTop w:val="0"/>
      <w:marBottom w:val="0"/>
      <w:divBdr>
        <w:top w:val="none" w:sz="0" w:space="0" w:color="auto"/>
        <w:left w:val="none" w:sz="0" w:space="0" w:color="auto"/>
        <w:bottom w:val="none" w:sz="0" w:space="0" w:color="auto"/>
        <w:right w:val="none" w:sz="0" w:space="0" w:color="auto"/>
      </w:divBdr>
    </w:div>
    <w:div w:id="1824545082">
      <w:bodyDiv w:val="1"/>
      <w:marLeft w:val="0"/>
      <w:marRight w:val="0"/>
      <w:marTop w:val="0"/>
      <w:marBottom w:val="0"/>
      <w:divBdr>
        <w:top w:val="none" w:sz="0" w:space="0" w:color="auto"/>
        <w:left w:val="none" w:sz="0" w:space="0" w:color="auto"/>
        <w:bottom w:val="none" w:sz="0" w:space="0" w:color="auto"/>
        <w:right w:val="none" w:sz="0" w:space="0" w:color="auto"/>
      </w:divBdr>
    </w:div>
    <w:div w:id="1961760142">
      <w:bodyDiv w:val="1"/>
      <w:marLeft w:val="0"/>
      <w:marRight w:val="0"/>
      <w:marTop w:val="0"/>
      <w:marBottom w:val="0"/>
      <w:divBdr>
        <w:top w:val="none" w:sz="0" w:space="0" w:color="auto"/>
        <w:left w:val="none" w:sz="0" w:space="0" w:color="auto"/>
        <w:bottom w:val="none" w:sz="0" w:space="0" w:color="auto"/>
        <w:right w:val="none" w:sz="0" w:space="0" w:color="auto"/>
      </w:divBdr>
    </w:div>
    <w:div w:id="2027442653">
      <w:bodyDiv w:val="1"/>
      <w:marLeft w:val="0"/>
      <w:marRight w:val="0"/>
      <w:marTop w:val="0"/>
      <w:marBottom w:val="0"/>
      <w:divBdr>
        <w:top w:val="none" w:sz="0" w:space="0" w:color="auto"/>
        <w:left w:val="none" w:sz="0" w:space="0" w:color="auto"/>
        <w:bottom w:val="none" w:sz="0" w:space="0" w:color="auto"/>
        <w:right w:val="none" w:sz="0" w:space="0" w:color="auto"/>
      </w:divBdr>
    </w:div>
    <w:div w:id="2056729528">
      <w:bodyDiv w:val="1"/>
      <w:marLeft w:val="0"/>
      <w:marRight w:val="0"/>
      <w:marTop w:val="0"/>
      <w:marBottom w:val="0"/>
      <w:divBdr>
        <w:top w:val="none" w:sz="0" w:space="0" w:color="auto"/>
        <w:left w:val="none" w:sz="0" w:space="0" w:color="auto"/>
        <w:bottom w:val="none" w:sz="0" w:space="0" w:color="auto"/>
        <w:right w:val="none" w:sz="0" w:space="0" w:color="auto"/>
      </w:divBdr>
    </w:div>
    <w:div w:id="2093579247">
      <w:bodyDiv w:val="1"/>
      <w:marLeft w:val="0"/>
      <w:marRight w:val="0"/>
      <w:marTop w:val="0"/>
      <w:marBottom w:val="0"/>
      <w:divBdr>
        <w:top w:val="none" w:sz="0" w:space="0" w:color="auto"/>
        <w:left w:val="none" w:sz="0" w:space="0" w:color="auto"/>
        <w:bottom w:val="none" w:sz="0" w:space="0" w:color="auto"/>
        <w:right w:val="none" w:sz="0" w:space="0" w:color="auto"/>
      </w:divBdr>
    </w:div>
    <w:div w:id="2097742849">
      <w:bodyDiv w:val="1"/>
      <w:marLeft w:val="0"/>
      <w:marRight w:val="0"/>
      <w:marTop w:val="0"/>
      <w:marBottom w:val="0"/>
      <w:divBdr>
        <w:top w:val="none" w:sz="0" w:space="0" w:color="auto"/>
        <w:left w:val="none" w:sz="0" w:space="0" w:color="auto"/>
        <w:bottom w:val="none" w:sz="0" w:space="0" w:color="auto"/>
        <w:right w:val="none" w:sz="0" w:space="0" w:color="auto"/>
      </w:divBdr>
    </w:div>
    <w:div w:id="21093026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image" Target="media/image2.emf"/><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382</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2023-02-27T17:13:00Z</dcterms:created>
  <dcterms:modified xsi:type="dcterms:W3CDTF">2023-02-27T17:13:00Z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